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6E4" w:rsidRPr="00CD2781" w:rsidRDefault="00A266E4" w:rsidP="00A266E4">
      <w:pPr>
        <w:spacing w:line="240" w:lineRule="auto"/>
        <w:rPr>
          <w:rFonts w:ascii="Tahoma" w:hAnsi="Tahoma" w:cs="Tahoma"/>
          <w:b/>
          <w:sz w:val="20"/>
          <w:szCs w:val="20"/>
        </w:rPr>
      </w:pPr>
    </w:p>
    <w:p w:rsidR="00A266E4" w:rsidRPr="00403DD3" w:rsidRDefault="00A266E4" w:rsidP="001E04AC">
      <w:pPr>
        <w:pStyle w:val="Textoindependiente"/>
        <w:widowControl w:val="0"/>
        <w:tabs>
          <w:tab w:val="left" w:pos="2410"/>
          <w:tab w:val="left" w:pos="3261"/>
          <w:tab w:val="left" w:pos="3686"/>
          <w:tab w:val="left" w:pos="5954"/>
          <w:tab w:val="left" w:pos="6946"/>
        </w:tabs>
        <w:suppressAutoHyphens/>
        <w:spacing w:after="0" w:line="240" w:lineRule="auto"/>
        <w:ind w:left="3402" w:right="2409" w:hanging="1276"/>
        <w:jc w:val="both"/>
        <w:rPr>
          <w:rFonts w:ascii="Tahoma" w:hAnsi="Tahoma" w:cs="Tahoma"/>
          <w:i/>
          <w:sz w:val="20"/>
          <w:szCs w:val="20"/>
          <w:lang w:val="es-PE"/>
        </w:rPr>
      </w:pPr>
      <w:r w:rsidRPr="00CD2781">
        <w:rPr>
          <w:rFonts w:ascii="Tahoma" w:hAnsi="Tahoma" w:cs="Tahoma"/>
          <w:b/>
          <w:i/>
          <w:sz w:val="20"/>
          <w:szCs w:val="20"/>
        </w:rPr>
        <w:t xml:space="preserve">Sumilla:  </w:t>
      </w:r>
      <w:r w:rsidR="00403DD3">
        <w:rPr>
          <w:rFonts w:ascii="Tahoma" w:hAnsi="Tahoma" w:cs="Tahoma"/>
          <w:b/>
          <w:i/>
          <w:sz w:val="20"/>
          <w:szCs w:val="20"/>
        </w:rPr>
        <w:t xml:space="preserve">  </w:t>
      </w:r>
      <w:r w:rsidR="001E04AC">
        <w:rPr>
          <w:rFonts w:ascii="Tahoma" w:hAnsi="Tahoma" w:cs="Tahoma"/>
          <w:b/>
          <w:i/>
          <w:sz w:val="20"/>
          <w:szCs w:val="20"/>
        </w:rPr>
        <w:t xml:space="preserve">   </w:t>
      </w:r>
      <w:r w:rsidR="00403DD3">
        <w:rPr>
          <w:rFonts w:ascii="Tahoma" w:hAnsi="Tahoma" w:cs="Tahoma"/>
          <w:bCs/>
          <w:i/>
          <w:sz w:val="20"/>
          <w:szCs w:val="20"/>
        </w:rPr>
        <w:t>S</w:t>
      </w:r>
      <w:r w:rsidR="00403DD3" w:rsidRPr="00403DD3">
        <w:rPr>
          <w:rFonts w:ascii="Tahoma" w:hAnsi="Tahoma" w:cs="Tahoma"/>
          <w:bCs/>
          <w:i/>
          <w:sz w:val="20"/>
          <w:szCs w:val="20"/>
        </w:rPr>
        <w:t>i alguna de las partes falta al cumplimiento de sus obligaciones, la parte perjudicada deberá requerirla mediante carta notarial</w:t>
      </w:r>
      <w:r w:rsidR="00403DD3" w:rsidRPr="00403DD3">
        <w:rPr>
          <w:rFonts w:ascii="Tahoma" w:hAnsi="Tahoma" w:cs="Tahoma"/>
          <w:i/>
          <w:sz w:val="20"/>
          <w:szCs w:val="20"/>
        </w:rPr>
        <w:t xml:space="preserve"> para que las satisfaga en un plazo no mayor a cinco (5) días, bajo apercibimiento de resolver el contrato</w:t>
      </w:r>
      <w:r w:rsidRPr="00403DD3">
        <w:rPr>
          <w:rFonts w:ascii="Tahoma" w:hAnsi="Tahoma" w:cs="Tahoma"/>
          <w:i/>
          <w:sz w:val="20"/>
          <w:szCs w:val="20"/>
        </w:rPr>
        <w:t>.</w:t>
      </w:r>
    </w:p>
    <w:p w:rsidR="00A266E4" w:rsidRPr="00CD2781" w:rsidRDefault="00A266E4" w:rsidP="00A266E4">
      <w:pPr>
        <w:pStyle w:val="Textoindependiente3"/>
        <w:spacing w:after="0"/>
        <w:ind w:left="4248" w:right="179" w:firstLine="708"/>
        <w:jc w:val="both"/>
        <w:rPr>
          <w:rFonts w:ascii="Tahoma" w:hAnsi="Tahoma" w:cs="Tahoma"/>
          <w:b/>
          <w:sz w:val="20"/>
          <w:szCs w:val="20"/>
        </w:rPr>
      </w:pPr>
    </w:p>
    <w:p w:rsidR="00A266E4" w:rsidRPr="00CD2781" w:rsidRDefault="00A266E4" w:rsidP="00A266E4">
      <w:pPr>
        <w:pStyle w:val="Textoindependiente3"/>
        <w:spacing w:after="0"/>
        <w:ind w:left="4248" w:right="179" w:firstLine="708"/>
        <w:jc w:val="both"/>
        <w:rPr>
          <w:rFonts w:ascii="Tahoma" w:hAnsi="Tahoma" w:cs="Tahoma"/>
          <w:sz w:val="20"/>
          <w:szCs w:val="20"/>
        </w:rPr>
      </w:pPr>
      <w:r w:rsidRPr="00CD2781">
        <w:rPr>
          <w:rFonts w:ascii="Tahoma" w:hAnsi="Tahoma" w:cs="Tahoma"/>
          <w:b/>
          <w:sz w:val="20"/>
          <w:szCs w:val="20"/>
        </w:rPr>
        <w:t>Lima</w:t>
      </w:r>
      <w:r w:rsidRPr="00CD2781">
        <w:rPr>
          <w:rFonts w:ascii="Tahoma" w:hAnsi="Tahoma" w:cs="Tahoma"/>
          <w:sz w:val="20"/>
          <w:szCs w:val="20"/>
        </w:rPr>
        <w:t xml:space="preserve">, </w:t>
      </w:r>
      <w:r w:rsidR="00A91A5E">
        <w:rPr>
          <w:rFonts w:ascii="Tahoma" w:hAnsi="Tahoma" w:cs="Tahoma"/>
          <w:sz w:val="20"/>
          <w:szCs w:val="20"/>
        </w:rPr>
        <w:t>17 de Mayo de 2011</w:t>
      </w:r>
    </w:p>
    <w:p w:rsidR="00A266E4" w:rsidRPr="00CD2781" w:rsidRDefault="00A266E4" w:rsidP="00A266E4">
      <w:pPr>
        <w:pStyle w:val="Textoindependiente3"/>
        <w:spacing w:after="0"/>
        <w:jc w:val="both"/>
        <w:rPr>
          <w:rFonts w:ascii="Tahoma" w:hAnsi="Tahoma" w:cs="Tahoma"/>
          <w:sz w:val="20"/>
          <w:szCs w:val="20"/>
        </w:rPr>
      </w:pPr>
    </w:p>
    <w:p w:rsidR="00A266E4" w:rsidRPr="00CD733B" w:rsidRDefault="00A266E4" w:rsidP="00A266E4">
      <w:pPr>
        <w:spacing w:after="0" w:line="240" w:lineRule="auto"/>
        <w:jc w:val="both"/>
        <w:rPr>
          <w:rFonts w:ascii="Tahoma" w:hAnsi="Tahoma" w:cs="Tahoma"/>
          <w:sz w:val="20"/>
          <w:szCs w:val="20"/>
          <w:lang w:val="es-MX"/>
        </w:rPr>
      </w:pPr>
      <w:r w:rsidRPr="00CD2781">
        <w:rPr>
          <w:rFonts w:ascii="Tahoma" w:hAnsi="Tahoma" w:cs="Tahoma"/>
          <w:b/>
          <w:sz w:val="20"/>
          <w:szCs w:val="20"/>
        </w:rPr>
        <w:t>VISTO</w:t>
      </w:r>
      <w:r w:rsidR="001A0A62">
        <w:rPr>
          <w:rFonts w:ascii="Tahoma" w:hAnsi="Tahoma" w:cs="Tahoma"/>
          <w:sz w:val="20"/>
          <w:szCs w:val="20"/>
        </w:rPr>
        <w:t xml:space="preserve"> en sesión de fecha 16</w:t>
      </w:r>
      <w:r w:rsidRPr="00CD2781">
        <w:rPr>
          <w:rFonts w:ascii="Tahoma" w:hAnsi="Tahoma" w:cs="Tahoma"/>
          <w:sz w:val="20"/>
          <w:szCs w:val="20"/>
        </w:rPr>
        <w:t xml:space="preserve"> de </w:t>
      </w:r>
      <w:r w:rsidR="001A0A62">
        <w:rPr>
          <w:rFonts w:ascii="Tahoma" w:hAnsi="Tahoma" w:cs="Tahoma"/>
          <w:sz w:val="20"/>
          <w:szCs w:val="20"/>
        </w:rPr>
        <w:t xml:space="preserve">mayo </w:t>
      </w:r>
      <w:r w:rsidRPr="00CD2781">
        <w:rPr>
          <w:rFonts w:ascii="Tahoma" w:hAnsi="Tahoma" w:cs="Tahoma"/>
          <w:sz w:val="20"/>
          <w:szCs w:val="20"/>
        </w:rPr>
        <w:t>de 2011 de la Primera Sala del Tribunal de Contrataciones del Estado el Expediente № 11</w:t>
      </w:r>
      <w:r w:rsidR="00741B43">
        <w:rPr>
          <w:rFonts w:ascii="Tahoma" w:hAnsi="Tahoma" w:cs="Tahoma"/>
          <w:sz w:val="20"/>
          <w:szCs w:val="20"/>
        </w:rPr>
        <w:t>62</w:t>
      </w:r>
      <w:r w:rsidRPr="00CD2781">
        <w:rPr>
          <w:rFonts w:ascii="Tahoma" w:hAnsi="Tahoma" w:cs="Tahoma"/>
          <w:sz w:val="20"/>
          <w:szCs w:val="20"/>
        </w:rPr>
        <w:t xml:space="preserve">/2010.TC, sobre el procedimiento administrativo sancionador contra </w:t>
      </w:r>
      <w:r w:rsidR="00CF70AC">
        <w:rPr>
          <w:rFonts w:ascii="Tahoma" w:hAnsi="Tahoma" w:cs="Tahoma"/>
          <w:sz w:val="20"/>
          <w:szCs w:val="20"/>
        </w:rPr>
        <w:t xml:space="preserve">el </w:t>
      </w:r>
      <w:r w:rsidR="00CF70AC" w:rsidRPr="00CD2781">
        <w:rPr>
          <w:rFonts w:ascii="Tahoma" w:hAnsi="Tahoma" w:cs="Tahoma"/>
          <w:sz w:val="20"/>
        </w:rPr>
        <w:t>Consorcio integrado por la empresa San Martín Service S.A. y Pentagas S.A.C.,</w:t>
      </w:r>
      <w:r w:rsidR="00CF70AC">
        <w:rPr>
          <w:rFonts w:ascii="Tahoma" w:hAnsi="Tahoma" w:cs="Tahoma"/>
          <w:sz w:val="20"/>
        </w:rPr>
        <w:t xml:space="preserve"> </w:t>
      </w:r>
      <w:r w:rsidRPr="00CD2781">
        <w:rPr>
          <w:rFonts w:ascii="Tahoma" w:hAnsi="Tahoma" w:cs="Tahoma"/>
          <w:sz w:val="20"/>
          <w:szCs w:val="20"/>
          <w:lang w:val="es-MX"/>
        </w:rPr>
        <w:t xml:space="preserve">por </w:t>
      </w:r>
      <w:r w:rsidR="00CF70AC">
        <w:rPr>
          <w:rFonts w:ascii="Tahoma" w:hAnsi="Tahoma" w:cs="Tahoma"/>
          <w:sz w:val="20"/>
          <w:szCs w:val="20"/>
          <w:lang w:val="es-MX"/>
        </w:rPr>
        <w:t xml:space="preserve">supuesta responsabilidad en dar lugar a la resolución del </w:t>
      </w:r>
      <w:r w:rsidR="009254C5" w:rsidRPr="00CD2781">
        <w:rPr>
          <w:rFonts w:ascii="Tahoma" w:hAnsi="Tahoma" w:cs="Tahoma"/>
          <w:sz w:val="20"/>
        </w:rPr>
        <w:t>Contrato de Adquisición de Bienes Nº 254-2009-SEDAPAL</w:t>
      </w:r>
      <w:r w:rsidR="001A0A62">
        <w:rPr>
          <w:rFonts w:ascii="Tahoma" w:hAnsi="Tahoma" w:cs="Tahoma"/>
          <w:sz w:val="20"/>
        </w:rPr>
        <w:t>,</w:t>
      </w:r>
      <w:r w:rsidR="00CD733B">
        <w:rPr>
          <w:rFonts w:ascii="Tahoma" w:hAnsi="Tahoma" w:cs="Tahoma"/>
          <w:sz w:val="20"/>
        </w:rPr>
        <w:t xml:space="preserve"> derivado de la </w:t>
      </w:r>
      <w:r w:rsidR="00CD733B" w:rsidRPr="00CD2781">
        <w:rPr>
          <w:rFonts w:ascii="Tahoma" w:hAnsi="Tahoma" w:cs="Tahoma"/>
          <w:sz w:val="20"/>
        </w:rPr>
        <w:t>Licitación Pública N° 009-2008/SEDAPAL-B</w:t>
      </w:r>
      <w:r w:rsidR="001A0A62">
        <w:rPr>
          <w:rFonts w:ascii="Tahoma" w:hAnsi="Tahoma" w:cs="Tahoma"/>
          <w:sz w:val="20"/>
        </w:rPr>
        <w:t xml:space="preserve">, </w:t>
      </w:r>
      <w:r w:rsidR="00CD733B">
        <w:rPr>
          <w:rFonts w:ascii="Tahoma" w:hAnsi="Tahoma" w:cs="Tahoma"/>
          <w:sz w:val="20"/>
        </w:rPr>
        <w:t xml:space="preserve">convocada por </w:t>
      </w:r>
      <w:r w:rsidR="00CD733B" w:rsidRPr="00CD2781">
        <w:rPr>
          <w:rFonts w:ascii="Tahoma" w:hAnsi="Tahoma" w:cs="Tahoma"/>
          <w:sz w:val="20"/>
        </w:rPr>
        <w:t>el Servicio de Agua Potable y Alcantarillado de Lima – SEDAPAL</w:t>
      </w:r>
      <w:r w:rsidR="001A0A62">
        <w:rPr>
          <w:rFonts w:ascii="Tahoma" w:hAnsi="Tahoma" w:cs="Tahoma"/>
          <w:sz w:val="20"/>
        </w:rPr>
        <w:t>,</w:t>
      </w:r>
      <w:r w:rsidR="00CD733B">
        <w:rPr>
          <w:rFonts w:ascii="Tahoma" w:hAnsi="Tahoma" w:cs="Tahoma"/>
          <w:sz w:val="20"/>
        </w:rPr>
        <w:t xml:space="preserve"> </w:t>
      </w:r>
      <w:r w:rsidR="00CD733B" w:rsidRPr="00CD2781">
        <w:rPr>
          <w:rFonts w:ascii="Tahoma" w:hAnsi="Tahoma" w:cs="Tahoma"/>
          <w:sz w:val="20"/>
        </w:rPr>
        <w:t>para la “Adquisición de Tapas de Polietileno Reciclado para Alcantarillado con Seguro”</w:t>
      </w:r>
      <w:r w:rsidRPr="00CD2781">
        <w:rPr>
          <w:rFonts w:ascii="Tahoma" w:hAnsi="Tahoma" w:cs="Tahoma"/>
          <w:sz w:val="20"/>
          <w:szCs w:val="20"/>
        </w:rPr>
        <w:t xml:space="preserve">; y, atendiendo a los siguientes:   </w:t>
      </w:r>
    </w:p>
    <w:p w:rsidR="00A266E4" w:rsidRPr="00CD2781" w:rsidRDefault="00A266E4" w:rsidP="00A266E4">
      <w:pPr>
        <w:spacing w:after="0" w:line="240" w:lineRule="auto"/>
        <w:ind w:right="45"/>
        <w:jc w:val="both"/>
        <w:rPr>
          <w:rFonts w:ascii="Tahoma" w:hAnsi="Tahoma" w:cs="Tahoma"/>
          <w:sz w:val="20"/>
          <w:szCs w:val="20"/>
        </w:rPr>
      </w:pPr>
    </w:p>
    <w:p w:rsidR="00A266E4" w:rsidRPr="00CD2781" w:rsidRDefault="00A266E4" w:rsidP="00A266E4">
      <w:pPr>
        <w:pStyle w:val="Ttulo2"/>
        <w:jc w:val="both"/>
        <w:rPr>
          <w:rFonts w:cs="Tahoma"/>
          <w:sz w:val="20"/>
        </w:rPr>
      </w:pPr>
      <w:r w:rsidRPr="00CD2781">
        <w:rPr>
          <w:rFonts w:cs="Tahoma"/>
          <w:sz w:val="20"/>
        </w:rPr>
        <w:t>ANTECEDENTES:</w:t>
      </w:r>
    </w:p>
    <w:p w:rsidR="00CD2781" w:rsidRDefault="00CD2781" w:rsidP="00CD2781">
      <w:pPr>
        <w:pStyle w:val="Prrafodelista"/>
        <w:widowControl/>
        <w:suppressAutoHyphens w:val="0"/>
        <w:ind w:left="454"/>
        <w:jc w:val="both"/>
        <w:rPr>
          <w:rFonts w:ascii="Tahoma" w:hAnsi="Tahoma" w:cs="Tahoma"/>
          <w:sz w:val="20"/>
        </w:rPr>
      </w:pPr>
    </w:p>
    <w:p w:rsidR="00A266E4" w:rsidRPr="00CD2781" w:rsidRDefault="00A266E4" w:rsidP="00A266E4">
      <w:pPr>
        <w:pStyle w:val="Prrafodelista"/>
        <w:widowControl/>
        <w:numPr>
          <w:ilvl w:val="0"/>
          <w:numId w:val="1"/>
        </w:numPr>
        <w:suppressAutoHyphens w:val="0"/>
        <w:jc w:val="both"/>
        <w:rPr>
          <w:rFonts w:ascii="Tahoma" w:hAnsi="Tahoma" w:cs="Tahoma"/>
          <w:sz w:val="20"/>
        </w:rPr>
      </w:pPr>
      <w:r w:rsidRPr="00CD2781">
        <w:rPr>
          <w:rFonts w:ascii="Tahoma" w:hAnsi="Tahoma" w:cs="Tahoma"/>
          <w:sz w:val="20"/>
        </w:rPr>
        <w:t xml:space="preserve">El 02 de julio de 2009, el Servicio de Agua Potable y Alcantarillado de Lima – SEDAPAL, en lo sucesivo La Entidad, convocó la Licitación Pública N° 009-2008/SEDAPAL-B, para la “Adquisición de Tapas de Polietileno Reciclado para Alcantarillado con Seguro”, por un valor referencial ascendente a S/. 1’495,080.30 </w:t>
      </w:r>
      <w:r w:rsidR="00CF70AC" w:rsidRPr="00CD2781">
        <w:rPr>
          <w:rFonts w:ascii="Tahoma" w:hAnsi="Tahoma" w:cs="Tahoma"/>
          <w:sz w:val="20"/>
        </w:rPr>
        <w:t>(Un</w:t>
      </w:r>
      <w:r w:rsidRPr="00CD2781">
        <w:rPr>
          <w:rFonts w:ascii="Tahoma" w:hAnsi="Tahoma" w:cs="Tahoma"/>
          <w:sz w:val="20"/>
        </w:rPr>
        <w:t xml:space="preserve"> millón cuatrocientos noventa y cinco mil ochenta con 30/100 Nuevos Soles).</w:t>
      </w:r>
    </w:p>
    <w:p w:rsidR="00A266E4" w:rsidRPr="00CD2781" w:rsidRDefault="00A266E4" w:rsidP="00A266E4">
      <w:pPr>
        <w:pStyle w:val="Prrafodelista"/>
        <w:ind w:left="0"/>
        <w:jc w:val="both"/>
        <w:rPr>
          <w:rFonts w:ascii="Tahoma" w:hAnsi="Tahoma" w:cs="Tahoma"/>
          <w:sz w:val="20"/>
        </w:rPr>
      </w:pPr>
    </w:p>
    <w:p w:rsidR="00A266E4" w:rsidRPr="00CD2781" w:rsidRDefault="00A266E4" w:rsidP="00A266E4">
      <w:pPr>
        <w:pStyle w:val="Prrafodelista"/>
        <w:widowControl/>
        <w:numPr>
          <w:ilvl w:val="0"/>
          <w:numId w:val="1"/>
        </w:numPr>
        <w:suppressAutoHyphens w:val="0"/>
        <w:jc w:val="both"/>
        <w:rPr>
          <w:rFonts w:ascii="Tahoma" w:hAnsi="Tahoma" w:cs="Tahoma"/>
          <w:sz w:val="20"/>
        </w:rPr>
      </w:pPr>
      <w:r w:rsidRPr="00CD2781">
        <w:rPr>
          <w:rFonts w:ascii="Tahoma" w:hAnsi="Tahoma" w:cs="Tahoma"/>
          <w:sz w:val="20"/>
        </w:rPr>
        <w:t>El 11 de agosto de 2009, el Comité Especial del Servicio de Agua Potable y Alcantarillado de Lima,  otorgó la buena pro al Consorcio integrado por la empresa San Martín Service S.A. y Pentagas S.A.C., en adelante el CONTRATISTA, por el importe de S/. 1’198,000.00 (Un millón ciento noventa y ocho mil con 00/100 Nuevos Soles).</w:t>
      </w:r>
    </w:p>
    <w:p w:rsidR="00A266E4" w:rsidRPr="00CD2781" w:rsidRDefault="00A266E4" w:rsidP="00A266E4">
      <w:pPr>
        <w:pStyle w:val="Prrafodelista"/>
        <w:ind w:left="0"/>
        <w:jc w:val="both"/>
        <w:rPr>
          <w:rFonts w:ascii="Tahoma" w:hAnsi="Tahoma" w:cs="Tahoma"/>
          <w:sz w:val="20"/>
        </w:rPr>
      </w:pPr>
    </w:p>
    <w:p w:rsidR="00A266E4" w:rsidRPr="00CD2781" w:rsidRDefault="00A266E4" w:rsidP="00A266E4">
      <w:pPr>
        <w:pStyle w:val="Prrafodelista"/>
        <w:widowControl/>
        <w:numPr>
          <w:ilvl w:val="0"/>
          <w:numId w:val="1"/>
        </w:numPr>
        <w:suppressAutoHyphens w:val="0"/>
        <w:jc w:val="both"/>
        <w:rPr>
          <w:rFonts w:ascii="Tahoma" w:hAnsi="Tahoma" w:cs="Tahoma"/>
          <w:sz w:val="20"/>
        </w:rPr>
      </w:pPr>
      <w:r w:rsidRPr="00CD2781">
        <w:rPr>
          <w:rFonts w:ascii="Tahoma" w:hAnsi="Tahoma" w:cs="Tahoma"/>
          <w:sz w:val="20"/>
        </w:rPr>
        <w:t>Con fecha 25 de agosto de 2009, la Entidad y el Contratista suscribieron el Contrato de Adquisición de Bienes Nº 254-2009-SEDAPAL, en cuya virtud el Contratista se obligaba a entregar en el plazo de quince (15) días naturales, contados a partir del día siguiente de la recepción del pedido de bienes, la misma que fue pactada en dos etapas, según el siguiente detalle</w:t>
      </w:r>
    </w:p>
    <w:p w:rsidR="00A266E4" w:rsidRPr="00CD2781" w:rsidRDefault="00A266E4" w:rsidP="00A266E4">
      <w:pPr>
        <w:pStyle w:val="Prrafodelista"/>
        <w:ind w:left="454"/>
        <w:jc w:val="both"/>
        <w:rPr>
          <w:rFonts w:ascii="Tahoma" w:hAnsi="Tahoma" w:cs="Tahoma"/>
          <w:sz w:val="20"/>
        </w:rPr>
      </w:pPr>
    </w:p>
    <w:p w:rsidR="00A266E4" w:rsidRPr="00CD2781" w:rsidRDefault="00A266E4" w:rsidP="00A266E4">
      <w:pPr>
        <w:pStyle w:val="Prrafodelista"/>
        <w:widowControl/>
        <w:numPr>
          <w:ilvl w:val="0"/>
          <w:numId w:val="9"/>
        </w:numPr>
        <w:suppressAutoHyphens w:val="0"/>
        <w:jc w:val="both"/>
        <w:rPr>
          <w:rFonts w:ascii="Tahoma" w:hAnsi="Tahoma" w:cs="Tahoma"/>
          <w:sz w:val="20"/>
        </w:rPr>
      </w:pPr>
      <w:r w:rsidRPr="00CD2781">
        <w:rPr>
          <w:rFonts w:ascii="Tahoma" w:hAnsi="Tahoma" w:cs="Tahoma"/>
          <w:sz w:val="20"/>
        </w:rPr>
        <w:t>Primera entrega de 200 tapas, al otorgamiento de la buena pro, atendida mediante Pedido de Bienes Nº 4500021507.</w:t>
      </w:r>
    </w:p>
    <w:p w:rsidR="00A266E4" w:rsidRPr="00CD2781" w:rsidRDefault="00A266E4" w:rsidP="00A266E4">
      <w:pPr>
        <w:pStyle w:val="Prrafodelista"/>
        <w:ind w:left="814"/>
        <w:jc w:val="both"/>
        <w:rPr>
          <w:rFonts w:ascii="Tahoma" w:hAnsi="Tahoma" w:cs="Tahoma"/>
          <w:sz w:val="20"/>
        </w:rPr>
      </w:pPr>
    </w:p>
    <w:p w:rsidR="00A266E4" w:rsidRPr="00CD2781" w:rsidRDefault="00A266E4" w:rsidP="00A266E4">
      <w:pPr>
        <w:pStyle w:val="Prrafodelista"/>
        <w:widowControl/>
        <w:numPr>
          <w:ilvl w:val="0"/>
          <w:numId w:val="9"/>
        </w:numPr>
        <w:suppressAutoHyphens w:val="0"/>
        <w:jc w:val="both"/>
        <w:rPr>
          <w:rFonts w:ascii="Tahoma" w:hAnsi="Tahoma" w:cs="Tahoma"/>
          <w:sz w:val="20"/>
        </w:rPr>
      </w:pPr>
      <w:r w:rsidRPr="00CD2781">
        <w:rPr>
          <w:rFonts w:ascii="Tahoma" w:hAnsi="Tahoma" w:cs="Tahoma"/>
          <w:sz w:val="20"/>
        </w:rPr>
        <w:t>Segunda entrega de 800 tapas, a los tres meses de otorgada la buena pro de bienes respectivos.</w:t>
      </w:r>
    </w:p>
    <w:p w:rsidR="00A266E4" w:rsidRPr="00CD2781" w:rsidRDefault="00A266E4" w:rsidP="00A266E4">
      <w:pPr>
        <w:pStyle w:val="Prrafodelista"/>
        <w:jc w:val="both"/>
        <w:rPr>
          <w:rFonts w:ascii="Tahoma" w:hAnsi="Tahoma" w:cs="Tahoma"/>
          <w:sz w:val="20"/>
        </w:rPr>
      </w:pPr>
    </w:p>
    <w:p w:rsidR="00A266E4" w:rsidRPr="00CD2781" w:rsidRDefault="00A266E4" w:rsidP="00A266E4">
      <w:pPr>
        <w:pStyle w:val="Prrafodelista"/>
        <w:widowControl/>
        <w:numPr>
          <w:ilvl w:val="0"/>
          <w:numId w:val="1"/>
        </w:numPr>
        <w:suppressAutoHyphens w:val="0"/>
        <w:jc w:val="both"/>
        <w:rPr>
          <w:rFonts w:ascii="Tahoma" w:hAnsi="Tahoma" w:cs="Tahoma"/>
          <w:sz w:val="20"/>
        </w:rPr>
      </w:pPr>
      <w:r w:rsidRPr="00CD2781">
        <w:rPr>
          <w:rFonts w:ascii="Tahoma" w:hAnsi="Tahoma" w:cs="Tahoma"/>
          <w:sz w:val="20"/>
        </w:rPr>
        <w:t xml:space="preserve">El 27 de agosto de 2009, la Entidad emitió a nombre del Contratista el Pedido de Bienes Nacionales Nº 4500021507  para la entrega de 200 unidades de tapas de </w:t>
      </w:r>
      <w:r w:rsidRPr="00CD2781">
        <w:rPr>
          <w:rFonts w:ascii="Tahoma" w:hAnsi="Tahoma" w:cs="Tahoma"/>
          <w:sz w:val="20"/>
        </w:rPr>
        <w:lastRenderedPageBreak/>
        <w:t>polietileno reciclado para alcantarillado con seguro, con un plazo máximo de 15 días naturales para la entrega, contados luego de la recepción del pedido de bienes.</w:t>
      </w:r>
    </w:p>
    <w:p w:rsidR="00A266E4" w:rsidRPr="00CD2781" w:rsidRDefault="00A266E4" w:rsidP="00A266E4">
      <w:pPr>
        <w:pStyle w:val="Prrafodelista"/>
        <w:ind w:left="454"/>
        <w:jc w:val="both"/>
        <w:rPr>
          <w:rFonts w:ascii="Tahoma" w:hAnsi="Tahoma" w:cs="Tahoma"/>
          <w:sz w:val="20"/>
        </w:rPr>
      </w:pPr>
    </w:p>
    <w:p w:rsidR="00A266E4" w:rsidRPr="00CD2781" w:rsidRDefault="00A266E4" w:rsidP="00A266E4">
      <w:pPr>
        <w:pStyle w:val="Prrafodelista"/>
        <w:widowControl/>
        <w:numPr>
          <w:ilvl w:val="0"/>
          <w:numId w:val="1"/>
        </w:numPr>
        <w:suppressAutoHyphens w:val="0"/>
        <w:jc w:val="both"/>
        <w:rPr>
          <w:rFonts w:ascii="Tahoma" w:hAnsi="Tahoma" w:cs="Tahoma"/>
          <w:sz w:val="20"/>
        </w:rPr>
      </w:pPr>
      <w:r w:rsidRPr="00CD2781">
        <w:rPr>
          <w:rFonts w:ascii="Tahoma" w:hAnsi="Tahoma" w:cs="Tahoma"/>
          <w:sz w:val="20"/>
        </w:rPr>
        <w:t>El 24 de septiembre de 2009, mediante Guías de Remisión Nº 1392 y Nº 1393, el Contratista remitió a la Entidad 200 tapas de polietileno para alcantarillado.</w:t>
      </w:r>
    </w:p>
    <w:p w:rsidR="00A266E4" w:rsidRPr="00CD2781" w:rsidRDefault="00A266E4" w:rsidP="00A266E4">
      <w:pPr>
        <w:pStyle w:val="Prrafodelista"/>
        <w:jc w:val="both"/>
        <w:rPr>
          <w:rFonts w:ascii="Tahoma" w:hAnsi="Tahoma" w:cs="Tahoma"/>
          <w:sz w:val="20"/>
        </w:rPr>
      </w:pPr>
    </w:p>
    <w:p w:rsidR="00A266E4" w:rsidRPr="00CD2781" w:rsidRDefault="00A266E4" w:rsidP="00A266E4">
      <w:pPr>
        <w:pStyle w:val="Prrafodelista"/>
        <w:widowControl/>
        <w:numPr>
          <w:ilvl w:val="0"/>
          <w:numId w:val="1"/>
        </w:numPr>
        <w:suppressAutoHyphens w:val="0"/>
        <w:jc w:val="both"/>
        <w:rPr>
          <w:rFonts w:ascii="Tahoma" w:hAnsi="Tahoma" w:cs="Tahoma"/>
          <w:i/>
          <w:iCs/>
          <w:sz w:val="20"/>
        </w:rPr>
      </w:pPr>
      <w:r w:rsidRPr="00CD2781">
        <w:rPr>
          <w:rFonts w:ascii="Tahoma" w:hAnsi="Tahoma" w:cs="Tahoma"/>
          <w:sz w:val="20"/>
        </w:rPr>
        <w:t xml:space="preserve">Ante solicitud de la Entidad, con Informe de Ensayo Nº INF-LE 355-09 de fecha 05 de octubre de 2009, el Laboratorio de Estructuras Sísmicas de la Pontificia Universidad Católica del Perú indicó los resultados de un ensayo de resistencia al tránsito, dimensiones y peso, de tapa y marco de polietileno. En dicho informe se concluyó lo siguiente: </w:t>
      </w:r>
      <w:r w:rsidRPr="00CD2781">
        <w:rPr>
          <w:rFonts w:ascii="Tahoma" w:hAnsi="Tahoma" w:cs="Tahoma"/>
          <w:i/>
          <w:iCs/>
          <w:sz w:val="20"/>
        </w:rPr>
        <w:t>“Según la norma de la referencia (NTP 339.111 1997 2da edición), se aplicó carga a razón de 2 mm/min hasta alcanzar 120 KN. Esta carga se mantuvo por 30 segundos y luego se descargó. Luego, a pedido expreso de los ingenieros presentes, se aplicó carga hasta provocar la rotura.”</w:t>
      </w:r>
    </w:p>
    <w:p w:rsidR="00A266E4" w:rsidRPr="00CD2781" w:rsidRDefault="00A266E4" w:rsidP="00A266E4">
      <w:pPr>
        <w:pStyle w:val="Prrafodelista"/>
        <w:jc w:val="both"/>
        <w:rPr>
          <w:rFonts w:ascii="Tahoma" w:hAnsi="Tahoma" w:cs="Tahoma"/>
          <w:sz w:val="20"/>
        </w:rPr>
      </w:pPr>
    </w:p>
    <w:p w:rsidR="00A266E4" w:rsidRPr="00CD2781" w:rsidRDefault="00A266E4" w:rsidP="00A266E4">
      <w:pPr>
        <w:pStyle w:val="Prrafodelista"/>
        <w:widowControl/>
        <w:numPr>
          <w:ilvl w:val="0"/>
          <w:numId w:val="1"/>
        </w:numPr>
        <w:suppressAutoHyphens w:val="0"/>
        <w:jc w:val="both"/>
        <w:rPr>
          <w:rFonts w:ascii="Tahoma" w:hAnsi="Tahoma" w:cs="Tahoma"/>
          <w:sz w:val="20"/>
        </w:rPr>
      </w:pPr>
      <w:r w:rsidRPr="00CD2781">
        <w:rPr>
          <w:rFonts w:ascii="Tahoma" w:hAnsi="Tahoma" w:cs="Tahoma"/>
          <w:sz w:val="20"/>
        </w:rPr>
        <w:t xml:space="preserve">El 16 de octubre de 2009, el Laboratorio de Estructuras Sísmicas de la Pontificia Universidad Católica del Perú, emitió el segundo informe Nº 374-09 referido a la resistencia al tránsito, dimensiones y peso, de tapa y marco de polietileno. En dicho informe se indicó lo siguiente: </w:t>
      </w:r>
      <w:r w:rsidRPr="00CD2781">
        <w:rPr>
          <w:rFonts w:ascii="Tahoma" w:hAnsi="Tahoma" w:cs="Tahoma"/>
          <w:i/>
          <w:iCs/>
          <w:sz w:val="20"/>
        </w:rPr>
        <w:t>“De acuerdo a la norma de referencia, se aplicó carga gradualmente a fin de alcanzar 120 KN, pero las tapas fallaron en las cargas que se indican en el cuadro correspondiente”.</w:t>
      </w:r>
    </w:p>
    <w:p w:rsidR="00A266E4" w:rsidRPr="00CD2781" w:rsidRDefault="00A266E4" w:rsidP="00A266E4">
      <w:pPr>
        <w:pStyle w:val="Prrafodelista"/>
        <w:jc w:val="both"/>
        <w:rPr>
          <w:rFonts w:ascii="Tahoma" w:hAnsi="Tahoma" w:cs="Tahoma"/>
          <w:sz w:val="20"/>
        </w:rPr>
      </w:pPr>
    </w:p>
    <w:p w:rsidR="00A266E4" w:rsidRPr="00CD2781" w:rsidRDefault="00A266E4" w:rsidP="00A266E4">
      <w:pPr>
        <w:pStyle w:val="Prrafodelista"/>
        <w:widowControl/>
        <w:numPr>
          <w:ilvl w:val="0"/>
          <w:numId w:val="1"/>
        </w:numPr>
        <w:suppressAutoHyphens w:val="0"/>
        <w:jc w:val="both"/>
        <w:rPr>
          <w:rFonts w:ascii="Tahoma" w:hAnsi="Tahoma" w:cs="Tahoma"/>
          <w:sz w:val="20"/>
        </w:rPr>
      </w:pPr>
      <w:r w:rsidRPr="00CD2781">
        <w:rPr>
          <w:rFonts w:ascii="Tahoma" w:hAnsi="Tahoma" w:cs="Tahoma"/>
          <w:sz w:val="20"/>
        </w:rPr>
        <w:t>Con Carta Nº 2121-2009-GG  de fecha 18 de noviembre de 2009, y notificada por conducto notarial en la misma fecha, se le indicó al Contratista los resultados de los informes antes señalados, y en virtud a ello, se le otorgó el plazo de 05 días calendarios a fin que entregue los bienes adjudicados en las condiciones requeridas por la Entidad.</w:t>
      </w:r>
    </w:p>
    <w:p w:rsidR="00A266E4" w:rsidRPr="00CD2781" w:rsidRDefault="00A266E4" w:rsidP="00A266E4">
      <w:pPr>
        <w:pStyle w:val="Prrafodelista"/>
        <w:jc w:val="both"/>
        <w:rPr>
          <w:rFonts w:ascii="Tahoma" w:hAnsi="Tahoma" w:cs="Tahoma"/>
          <w:sz w:val="20"/>
        </w:rPr>
      </w:pPr>
    </w:p>
    <w:p w:rsidR="00A266E4" w:rsidRPr="00CD2781" w:rsidRDefault="00A266E4" w:rsidP="00A266E4">
      <w:pPr>
        <w:pStyle w:val="Prrafodelista"/>
        <w:widowControl/>
        <w:numPr>
          <w:ilvl w:val="0"/>
          <w:numId w:val="1"/>
        </w:numPr>
        <w:suppressAutoHyphens w:val="0"/>
        <w:jc w:val="both"/>
        <w:rPr>
          <w:rFonts w:ascii="Tahoma" w:hAnsi="Tahoma" w:cs="Tahoma"/>
          <w:sz w:val="20"/>
        </w:rPr>
      </w:pPr>
      <w:r w:rsidRPr="00CD2781">
        <w:rPr>
          <w:rFonts w:ascii="Tahoma" w:hAnsi="Tahoma" w:cs="Tahoma"/>
          <w:sz w:val="20"/>
        </w:rPr>
        <w:t>Con Carta Nº 2161-2009-GG, notificada por conducto notarial el 24 de noviembre de 2009, se le comunicó al Contratista la Resolución de Gerencia General Nº 1107-2009-GG de fecha 24 de noviembre de 2009, mediante la cual se resolvió el vínculo contractual establecido con Contrato Nº 254-2009-SEDAPAL de fecha 25 de agosto de 2009.</w:t>
      </w:r>
    </w:p>
    <w:p w:rsidR="00A266E4" w:rsidRPr="00CD2781" w:rsidRDefault="00A266E4" w:rsidP="00A266E4">
      <w:pPr>
        <w:pStyle w:val="Prrafodelista"/>
        <w:jc w:val="both"/>
        <w:rPr>
          <w:rFonts w:ascii="Tahoma" w:hAnsi="Tahoma" w:cs="Tahoma"/>
          <w:sz w:val="20"/>
        </w:rPr>
      </w:pPr>
    </w:p>
    <w:p w:rsidR="00A266E4" w:rsidRPr="00CD2781" w:rsidRDefault="00A266E4" w:rsidP="00A266E4">
      <w:pPr>
        <w:pStyle w:val="Prrafodelista"/>
        <w:widowControl/>
        <w:numPr>
          <w:ilvl w:val="0"/>
          <w:numId w:val="1"/>
        </w:numPr>
        <w:suppressAutoHyphens w:val="0"/>
        <w:jc w:val="both"/>
        <w:rPr>
          <w:rFonts w:ascii="Tahoma" w:hAnsi="Tahoma" w:cs="Tahoma"/>
          <w:sz w:val="20"/>
        </w:rPr>
      </w:pPr>
      <w:r w:rsidRPr="00CD2781">
        <w:rPr>
          <w:rFonts w:ascii="Tahoma" w:hAnsi="Tahoma" w:cs="Tahoma"/>
          <w:sz w:val="20"/>
        </w:rPr>
        <w:t>Ante la comunicación de la Resolución de contrato, el Contratista solicitó a la Entidad el inicio de un proceso conciliatorio. Como resultado de dicho proceso el 23 de diciembre de 2009 se procedió a suscribir el Acta de Conciliación Nº 2210-09-ASIS, con el cual se acordó, entre otros puntos, los siguientes:</w:t>
      </w:r>
    </w:p>
    <w:p w:rsidR="00A266E4" w:rsidRPr="00CD2781" w:rsidRDefault="00A266E4" w:rsidP="00A266E4">
      <w:pPr>
        <w:pStyle w:val="Prrafodelista"/>
        <w:ind w:left="0"/>
        <w:jc w:val="both"/>
        <w:rPr>
          <w:rFonts w:ascii="Tahoma" w:hAnsi="Tahoma" w:cs="Tahoma"/>
          <w:sz w:val="20"/>
        </w:rPr>
      </w:pPr>
    </w:p>
    <w:p w:rsidR="00A266E4" w:rsidRPr="00CD2781" w:rsidRDefault="00A266E4" w:rsidP="00A266E4">
      <w:pPr>
        <w:pStyle w:val="Prrafodelista"/>
        <w:widowControl/>
        <w:numPr>
          <w:ilvl w:val="0"/>
          <w:numId w:val="10"/>
        </w:numPr>
        <w:suppressAutoHyphens w:val="0"/>
        <w:ind w:left="1560" w:hanging="142"/>
        <w:jc w:val="both"/>
        <w:rPr>
          <w:rFonts w:ascii="Tahoma" w:hAnsi="Tahoma" w:cs="Tahoma"/>
          <w:sz w:val="20"/>
        </w:rPr>
      </w:pPr>
      <w:r w:rsidRPr="00CD2781">
        <w:rPr>
          <w:rFonts w:ascii="Tahoma" w:hAnsi="Tahoma" w:cs="Tahoma"/>
          <w:sz w:val="20"/>
        </w:rPr>
        <w:t>Dejan sin efecto la Resolución de Gerencia General Nº 1107-2009-GG. Del 24 de noviembre de 2009.</w:t>
      </w:r>
    </w:p>
    <w:p w:rsidR="00A266E4" w:rsidRPr="00CD2781" w:rsidRDefault="00A266E4" w:rsidP="00A266E4">
      <w:pPr>
        <w:pStyle w:val="Prrafodelista"/>
        <w:ind w:left="1418"/>
        <w:jc w:val="both"/>
        <w:rPr>
          <w:rFonts w:ascii="Tahoma" w:hAnsi="Tahoma" w:cs="Tahoma"/>
          <w:sz w:val="20"/>
        </w:rPr>
      </w:pPr>
    </w:p>
    <w:p w:rsidR="00A266E4" w:rsidRPr="00CD2781" w:rsidRDefault="00A266E4" w:rsidP="00A266E4">
      <w:pPr>
        <w:pStyle w:val="Prrafodelista"/>
        <w:widowControl/>
        <w:numPr>
          <w:ilvl w:val="0"/>
          <w:numId w:val="10"/>
        </w:numPr>
        <w:suppressAutoHyphens w:val="0"/>
        <w:ind w:left="1560" w:hanging="142"/>
        <w:jc w:val="both"/>
        <w:rPr>
          <w:rFonts w:ascii="Tahoma" w:hAnsi="Tahoma" w:cs="Tahoma"/>
          <w:sz w:val="20"/>
        </w:rPr>
      </w:pPr>
      <w:r w:rsidRPr="00CD2781">
        <w:rPr>
          <w:rFonts w:ascii="Tahoma" w:hAnsi="Tahoma" w:cs="Tahoma"/>
          <w:sz w:val="20"/>
        </w:rPr>
        <w:t>Las partes acuerdan fijar como fecha de entrega de los bienes el 29 de diciembre de 2009.</w:t>
      </w:r>
    </w:p>
    <w:p w:rsidR="00A266E4" w:rsidRPr="00CD2781" w:rsidRDefault="00A266E4" w:rsidP="00A266E4">
      <w:pPr>
        <w:pStyle w:val="Prrafodelista"/>
        <w:ind w:left="0"/>
        <w:jc w:val="both"/>
        <w:rPr>
          <w:rFonts w:ascii="Tahoma" w:hAnsi="Tahoma" w:cs="Tahoma"/>
          <w:sz w:val="20"/>
        </w:rPr>
      </w:pPr>
    </w:p>
    <w:p w:rsidR="00A266E4" w:rsidRPr="00CD2781" w:rsidRDefault="00A266E4" w:rsidP="00A266E4">
      <w:pPr>
        <w:pStyle w:val="Prrafodelista"/>
        <w:widowControl/>
        <w:numPr>
          <w:ilvl w:val="0"/>
          <w:numId w:val="10"/>
        </w:numPr>
        <w:suppressAutoHyphens w:val="0"/>
        <w:ind w:left="1560" w:hanging="142"/>
        <w:jc w:val="both"/>
        <w:rPr>
          <w:rFonts w:ascii="Tahoma" w:hAnsi="Tahoma" w:cs="Tahoma"/>
          <w:sz w:val="20"/>
        </w:rPr>
      </w:pPr>
      <w:r w:rsidRPr="00CD2781">
        <w:rPr>
          <w:rFonts w:ascii="Tahoma" w:hAnsi="Tahoma" w:cs="Tahoma"/>
          <w:sz w:val="20"/>
        </w:rPr>
        <w:t>El contratista manifestó su desistimiento de cualquier pretensión derivada de la resolución de contrato.</w:t>
      </w:r>
    </w:p>
    <w:p w:rsidR="00A266E4" w:rsidRPr="00CD2781" w:rsidRDefault="00A266E4" w:rsidP="00A266E4">
      <w:pPr>
        <w:pStyle w:val="Prrafodelista"/>
        <w:ind w:left="0"/>
        <w:jc w:val="both"/>
        <w:rPr>
          <w:rFonts w:ascii="Tahoma" w:hAnsi="Tahoma" w:cs="Tahoma"/>
          <w:sz w:val="20"/>
        </w:rPr>
      </w:pPr>
    </w:p>
    <w:p w:rsidR="00A266E4" w:rsidRPr="00CD2781" w:rsidRDefault="00A266E4" w:rsidP="00A266E4">
      <w:pPr>
        <w:pStyle w:val="Prrafodelista"/>
        <w:widowControl/>
        <w:numPr>
          <w:ilvl w:val="0"/>
          <w:numId w:val="10"/>
        </w:numPr>
        <w:suppressAutoHyphens w:val="0"/>
        <w:ind w:left="1560" w:hanging="142"/>
        <w:jc w:val="both"/>
        <w:rPr>
          <w:rFonts w:ascii="Tahoma" w:hAnsi="Tahoma" w:cs="Tahoma"/>
          <w:sz w:val="20"/>
        </w:rPr>
      </w:pPr>
      <w:r w:rsidRPr="00CD2781">
        <w:rPr>
          <w:rFonts w:ascii="Tahoma" w:hAnsi="Tahoma" w:cs="Tahoma"/>
          <w:sz w:val="20"/>
        </w:rPr>
        <w:t xml:space="preserve">Las partes declararon que no tenían ningún otro aspecto que reclamarse o cuestionarse. </w:t>
      </w:r>
    </w:p>
    <w:p w:rsidR="00A266E4" w:rsidRPr="00CD2781" w:rsidRDefault="00A266E4" w:rsidP="00A266E4">
      <w:pPr>
        <w:pStyle w:val="Prrafodelista"/>
        <w:ind w:left="454"/>
        <w:jc w:val="both"/>
        <w:rPr>
          <w:rFonts w:ascii="Tahoma" w:hAnsi="Tahoma" w:cs="Tahoma"/>
          <w:sz w:val="20"/>
        </w:rPr>
      </w:pPr>
    </w:p>
    <w:p w:rsidR="00A266E4" w:rsidRPr="00CD2781" w:rsidRDefault="00A266E4" w:rsidP="00A266E4">
      <w:pPr>
        <w:pStyle w:val="Prrafodelista"/>
        <w:widowControl/>
        <w:numPr>
          <w:ilvl w:val="0"/>
          <w:numId w:val="1"/>
        </w:numPr>
        <w:suppressAutoHyphens w:val="0"/>
        <w:jc w:val="both"/>
        <w:rPr>
          <w:rFonts w:ascii="Tahoma" w:hAnsi="Tahoma" w:cs="Tahoma"/>
          <w:sz w:val="20"/>
        </w:rPr>
      </w:pPr>
      <w:r w:rsidRPr="00CD2781">
        <w:rPr>
          <w:rFonts w:ascii="Tahoma" w:hAnsi="Tahoma" w:cs="Tahoma"/>
          <w:sz w:val="20"/>
        </w:rPr>
        <w:lastRenderedPageBreak/>
        <w:t>El 29 de diciembre de 2009, el Consorcio hizo entrega a la Entidad de un nuevo lote de 200 Tapas de Polietileno para alcantarillado.</w:t>
      </w:r>
    </w:p>
    <w:p w:rsidR="00A266E4" w:rsidRPr="00CD2781" w:rsidRDefault="00A266E4" w:rsidP="00A266E4">
      <w:pPr>
        <w:pStyle w:val="Prrafodelista"/>
        <w:ind w:left="454"/>
        <w:jc w:val="both"/>
        <w:rPr>
          <w:rFonts w:ascii="Tahoma" w:hAnsi="Tahoma" w:cs="Tahoma"/>
          <w:sz w:val="20"/>
        </w:rPr>
      </w:pPr>
    </w:p>
    <w:p w:rsidR="00A266E4" w:rsidRPr="00CD2781" w:rsidRDefault="00A266E4" w:rsidP="00A266E4">
      <w:pPr>
        <w:pStyle w:val="Prrafodelista"/>
        <w:widowControl/>
        <w:numPr>
          <w:ilvl w:val="0"/>
          <w:numId w:val="1"/>
        </w:numPr>
        <w:suppressAutoHyphens w:val="0"/>
        <w:jc w:val="both"/>
        <w:rPr>
          <w:rFonts w:ascii="Tahoma" w:hAnsi="Tahoma" w:cs="Tahoma"/>
          <w:sz w:val="20"/>
        </w:rPr>
      </w:pPr>
      <w:r w:rsidRPr="00CD2781">
        <w:rPr>
          <w:rFonts w:ascii="Tahoma" w:hAnsi="Tahoma" w:cs="Tahoma"/>
          <w:sz w:val="20"/>
        </w:rPr>
        <w:t>Con la finalidad de verificar el cumplimiento de las especificaciones técnicas y condiciones exigidas por SEDAPAL, fueron remitidos al Laboratorio de Estructuras Antisísmicas de la Pontificia Universidad Católica del Perú, dos muestras del lote entregado a efectos de que sean practicadas las pruebas de conformidad respectiva.</w:t>
      </w:r>
    </w:p>
    <w:p w:rsidR="00A266E4" w:rsidRPr="00CD2781" w:rsidRDefault="00A266E4" w:rsidP="00A266E4">
      <w:pPr>
        <w:pStyle w:val="Prrafodelista"/>
        <w:ind w:left="0"/>
        <w:jc w:val="both"/>
        <w:rPr>
          <w:rFonts w:ascii="Tahoma" w:hAnsi="Tahoma" w:cs="Tahoma"/>
          <w:sz w:val="20"/>
        </w:rPr>
      </w:pPr>
    </w:p>
    <w:p w:rsidR="00A266E4" w:rsidRPr="00CD2781" w:rsidRDefault="00A266E4" w:rsidP="00A266E4">
      <w:pPr>
        <w:pStyle w:val="Prrafodelista"/>
        <w:widowControl/>
        <w:numPr>
          <w:ilvl w:val="0"/>
          <w:numId w:val="1"/>
        </w:numPr>
        <w:suppressAutoHyphens w:val="0"/>
        <w:jc w:val="both"/>
        <w:rPr>
          <w:rFonts w:ascii="Tahoma" w:hAnsi="Tahoma" w:cs="Tahoma"/>
          <w:sz w:val="20"/>
        </w:rPr>
      </w:pPr>
      <w:r w:rsidRPr="00CD2781">
        <w:rPr>
          <w:rFonts w:ascii="Tahoma" w:hAnsi="Tahoma" w:cs="Tahoma"/>
          <w:sz w:val="20"/>
        </w:rPr>
        <w:t>En atención a dicho requerimiento, el Laboratorio de Estructuras Antisísmicas de la Pontificia Universidad Católica del Perú remitió el Informe de Ensayo referido al Expediente INF-LE 013-2010 del 26 de enero de 2010, así como el Informe de Ensayo referido al Expediente INF-LE 066-10 del 25 de febrero de 2010, estableciéndose que las muestras indicadas no cumplen con los parámetros de altura (10,5 cm), resistencia de la carga puntual y carga de rutura (20 TN) que deben soportar de acuerdo a la Norma Técnica Peruana 333.111, establecidos con requerimientos técnicos mínimos en las bases y ofertados en la propuesta del contratista.</w:t>
      </w:r>
    </w:p>
    <w:p w:rsidR="00A266E4" w:rsidRPr="00CD2781" w:rsidRDefault="00A266E4" w:rsidP="00A266E4">
      <w:pPr>
        <w:pStyle w:val="Prrafodelista"/>
        <w:ind w:left="0"/>
        <w:jc w:val="both"/>
        <w:rPr>
          <w:rFonts w:ascii="Tahoma" w:hAnsi="Tahoma" w:cs="Tahoma"/>
          <w:sz w:val="20"/>
        </w:rPr>
      </w:pPr>
    </w:p>
    <w:p w:rsidR="00A266E4" w:rsidRPr="00CD2781" w:rsidRDefault="00A266E4" w:rsidP="00A266E4">
      <w:pPr>
        <w:pStyle w:val="Prrafodelista"/>
        <w:widowControl/>
        <w:numPr>
          <w:ilvl w:val="0"/>
          <w:numId w:val="1"/>
        </w:numPr>
        <w:suppressAutoHyphens w:val="0"/>
        <w:jc w:val="both"/>
        <w:rPr>
          <w:rFonts w:ascii="Tahoma" w:hAnsi="Tahoma" w:cs="Tahoma"/>
          <w:sz w:val="20"/>
        </w:rPr>
      </w:pPr>
      <w:r w:rsidRPr="00CD2781">
        <w:rPr>
          <w:rFonts w:ascii="Tahoma" w:hAnsi="Tahoma" w:cs="Tahoma"/>
          <w:sz w:val="20"/>
        </w:rPr>
        <w:t>Mediante Carta Nº 18-2010-ERPrim, notificada por conducto notarial el 04 de febrero de 2010, se informó al Contratista que el Laboratorio de Estructuras Sísmicas de la Pontificia Universidad Católica del Perú, mediante Informe Nº  013-10, señaló que la carga máxima de rotura fluctuó entre 6.56 TN (58.6 KN) y 10.36TN (92.5 KN), el cual está por debajo de la carga máxima de rotura de 20 TN y de la carga puntual que debe soportar 12 TN (117.68 KN).</w:t>
      </w:r>
    </w:p>
    <w:p w:rsidR="00A266E4" w:rsidRPr="00CD2781" w:rsidRDefault="00A266E4" w:rsidP="00A266E4">
      <w:pPr>
        <w:pStyle w:val="Prrafodelista"/>
        <w:ind w:left="454"/>
        <w:jc w:val="both"/>
        <w:rPr>
          <w:rFonts w:ascii="Tahoma" w:hAnsi="Tahoma" w:cs="Tahoma"/>
          <w:sz w:val="20"/>
        </w:rPr>
      </w:pPr>
    </w:p>
    <w:p w:rsidR="00A266E4" w:rsidRPr="00CD2781" w:rsidRDefault="00A266E4" w:rsidP="00A266E4">
      <w:pPr>
        <w:pStyle w:val="Prrafodelista"/>
        <w:ind w:left="454"/>
        <w:jc w:val="both"/>
        <w:rPr>
          <w:rFonts w:ascii="Tahoma" w:hAnsi="Tahoma" w:cs="Tahoma"/>
          <w:sz w:val="20"/>
        </w:rPr>
      </w:pPr>
      <w:r w:rsidRPr="00CD2781">
        <w:rPr>
          <w:rFonts w:ascii="Tahoma" w:hAnsi="Tahoma" w:cs="Tahoma"/>
          <w:sz w:val="20"/>
        </w:rPr>
        <w:t>En virtud a ello, se le otorgó el plazo de diez (10) días calendarios  a partir de recibida la presente, a efecto de subsanar las deficiencias y cumplan con las características y condiciones ofrecidas.</w:t>
      </w:r>
    </w:p>
    <w:p w:rsidR="00CD2781" w:rsidRDefault="00CD2781" w:rsidP="00CD2781">
      <w:pPr>
        <w:pStyle w:val="Prrafodelista"/>
        <w:widowControl/>
        <w:suppressAutoHyphens w:val="0"/>
        <w:ind w:left="454"/>
        <w:jc w:val="both"/>
        <w:rPr>
          <w:rFonts w:ascii="Tahoma" w:hAnsi="Tahoma" w:cs="Tahoma"/>
          <w:sz w:val="20"/>
        </w:rPr>
      </w:pPr>
    </w:p>
    <w:p w:rsidR="00A266E4" w:rsidRPr="00CD2781" w:rsidRDefault="00A266E4" w:rsidP="00A266E4">
      <w:pPr>
        <w:pStyle w:val="Prrafodelista"/>
        <w:widowControl/>
        <w:numPr>
          <w:ilvl w:val="0"/>
          <w:numId w:val="1"/>
        </w:numPr>
        <w:suppressAutoHyphens w:val="0"/>
        <w:jc w:val="both"/>
        <w:rPr>
          <w:rFonts w:ascii="Tahoma" w:hAnsi="Tahoma" w:cs="Tahoma"/>
          <w:sz w:val="20"/>
        </w:rPr>
      </w:pPr>
      <w:r w:rsidRPr="00CD2781">
        <w:rPr>
          <w:rFonts w:ascii="Tahoma" w:hAnsi="Tahoma" w:cs="Tahoma"/>
          <w:sz w:val="20"/>
        </w:rPr>
        <w:t>Mediante Carta Nº 518-2010-GG del 29 de marzo de 2010 remitida por conducto notarial, y diligenciada el día 31.03.2011, se informó al Contratista el resultado de los ensayos efectuados, adjuntándose copia de los mismos y requiriéndole a su vez, el cumplimiento de las obligaciones esenciales derivadas del contrato suscrito, para lo cual se le otorgó un plazo de cinco (05) días a partir de la recepción del documento, a fin de que disponga la entrega de los bienes requeridos en las condiciones establecidas, bajo apercibimiento de resolver el contrato.</w:t>
      </w:r>
    </w:p>
    <w:p w:rsidR="00A266E4" w:rsidRPr="00CD2781" w:rsidRDefault="00A266E4" w:rsidP="00A266E4">
      <w:pPr>
        <w:pStyle w:val="Prrafodelista"/>
        <w:ind w:left="0"/>
        <w:jc w:val="both"/>
        <w:rPr>
          <w:rFonts w:ascii="Tahoma" w:hAnsi="Tahoma" w:cs="Tahoma"/>
          <w:sz w:val="20"/>
        </w:rPr>
      </w:pPr>
    </w:p>
    <w:p w:rsidR="00A266E4" w:rsidRPr="00CD2781" w:rsidRDefault="00A266E4" w:rsidP="00A266E4">
      <w:pPr>
        <w:pStyle w:val="Prrafodelista"/>
        <w:widowControl/>
        <w:numPr>
          <w:ilvl w:val="0"/>
          <w:numId w:val="1"/>
        </w:numPr>
        <w:suppressAutoHyphens w:val="0"/>
        <w:jc w:val="both"/>
        <w:rPr>
          <w:rFonts w:ascii="Tahoma" w:hAnsi="Tahoma" w:cs="Tahoma"/>
          <w:sz w:val="20"/>
        </w:rPr>
      </w:pPr>
      <w:r w:rsidRPr="00CD2781">
        <w:rPr>
          <w:rFonts w:ascii="Tahoma" w:hAnsi="Tahoma" w:cs="Tahoma"/>
          <w:sz w:val="20"/>
        </w:rPr>
        <w:t>El 05 de abril de 2010 se cumplió el plazo otorgado sin que el Contratista haya cumplido con subsanar las observaciones advertidas. En atención a ello, mediante Carta Nº 007-2010-GLS, de fecha 03 de junio de 2010, diligenciada el 05 de junio de 2010, se comunicó al Contratista la Resolución de Gerencia General Nº 0437-2010-GG de fecha 31 de mayo de 2010, a través de la cual se dispuso resolver el vínculo contractual.</w:t>
      </w:r>
    </w:p>
    <w:p w:rsidR="00A266E4" w:rsidRPr="00CD2781" w:rsidRDefault="00A266E4" w:rsidP="00A266E4">
      <w:pPr>
        <w:pStyle w:val="Prrafodelista"/>
        <w:ind w:left="454"/>
        <w:jc w:val="both"/>
        <w:rPr>
          <w:rFonts w:ascii="Tahoma" w:hAnsi="Tahoma" w:cs="Tahoma"/>
          <w:sz w:val="20"/>
        </w:rPr>
      </w:pPr>
    </w:p>
    <w:p w:rsidR="00A266E4" w:rsidRPr="00CD2781" w:rsidRDefault="00A266E4" w:rsidP="00A266E4">
      <w:pPr>
        <w:pStyle w:val="Prrafodelista"/>
        <w:widowControl/>
        <w:numPr>
          <w:ilvl w:val="0"/>
          <w:numId w:val="1"/>
        </w:numPr>
        <w:suppressAutoHyphens w:val="0"/>
        <w:jc w:val="both"/>
        <w:rPr>
          <w:rFonts w:ascii="Tahoma" w:hAnsi="Tahoma" w:cs="Tahoma"/>
          <w:sz w:val="20"/>
        </w:rPr>
      </w:pPr>
      <w:r w:rsidRPr="00CD2781">
        <w:rPr>
          <w:rFonts w:ascii="Tahoma" w:hAnsi="Tahoma" w:cs="Tahoma"/>
          <w:sz w:val="20"/>
        </w:rPr>
        <w:t>Mediante escrito de fecha 10 de mayo de 2010, el Contratista solicitó a la Entidad continuar con la adquisición con un descuento del 45% del precio de los bienes.</w:t>
      </w:r>
    </w:p>
    <w:p w:rsidR="00A266E4" w:rsidRPr="00CD2781" w:rsidRDefault="00A266E4" w:rsidP="00A266E4">
      <w:pPr>
        <w:pStyle w:val="Prrafodelista"/>
        <w:rPr>
          <w:rFonts w:ascii="Tahoma" w:hAnsi="Tahoma" w:cs="Tahoma"/>
          <w:sz w:val="20"/>
        </w:rPr>
      </w:pPr>
    </w:p>
    <w:p w:rsidR="00A266E4" w:rsidRPr="00CD2781" w:rsidRDefault="00A266E4" w:rsidP="00A266E4">
      <w:pPr>
        <w:pStyle w:val="Prrafodelista"/>
        <w:widowControl/>
        <w:numPr>
          <w:ilvl w:val="0"/>
          <w:numId w:val="1"/>
        </w:numPr>
        <w:suppressAutoHyphens w:val="0"/>
        <w:jc w:val="both"/>
        <w:rPr>
          <w:rFonts w:ascii="Tahoma" w:hAnsi="Tahoma" w:cs="Tahoma"/>
          <w:sz w:val="20"/>
        </w:rPr>
      </w:pPr>
      <w:r w:rsidRPr="00CD2781">
        <w:rPr>
          <w:rFonts w:ascii="Tahoma" w:hAnsi="Tahoma" w:cs="Tahoma"/>
          <w:sz w:val="20"/>
        </w:rPr>
        <w:t>Con Carta Nº 1201-2010-GG del 25 de junio de 2010, remitida por conducto notarial y diligenciada el 02 de julio de 2010, la Entidad le reiteró al representante del Consorcio el contenido de la Resolución de Gerencia General Nº 0437-2010-GG de fecha 31 de mayo de 2010, que dispone la resolución de contrato por incumplimiento.</w:t>
      </w:r>
    </w:p>
    <w:p w:rsidR="00A266E4" w:rsidRPr="00CD2781" w:rsidRDefault="00A266E4" w:rsidP="00A266E4">
      <w:pPr>
        <w:pStyle w:val="Prrafodelista"/>
        <w:rPr>
          <w:rFonts w:ascii="Tahoma" w:hAnsi="Tahoma" w:cs="Tahoma"/>
          <w:sz w:val="20"/>
        </w:rPr>
      </w:pPr>
    </w:p>
    <w:p w:rsidR="00A266E4" w:rsidRPr="00CD2781" w:rsidRDefault="00A266E4" w:rsidP="00A266E4">
      <w:pPr>
        <w:pStyle w:val="Prrafodelista"/>
        <w:widowControl/>
        <w:numPr>
          <w:ilvl w:val="0"/>
          <w:numId w:val="1"/>
        </w:numPr>
        <w:suppressAutoHyphens w:val="0"/>
        <w:jc w:val="both"/>
        <w:rPr>
          <w:rFonts w:ascii="Tahoma" w:hAnsi="Tahoma" w:cs="Tahoma"/>
          <w:sz w:val="20"/>
        </w:rPr>
      </w:pPr>
      <w:r w:rsidRPr="00CD2781">
        <w:rPr>
          <w:rFonts w:ascii="Tahoma" w:hAnsi="Tahoma" w:cs="Tahoma"/>
          <w:sz w:val="20"/>
        </w:rPr>
        <w:lastRenderedPageBreak/>
        <w:t>Mediante escrito de fecha 23 de julio de 2010, el Contratista invitó a conciliar a la Entidad respecto la resolución del contrato.</w:t>
      </w:r>
    </w:p>
    <w:p w:rsidR="00A266E4" w:rsidRPr="00CD2781" w:rsidRDefault="00A266E4" w:rsidP="00A266E4">
      <w:pPr>
        <w:pStyle w:val="Prrafodelista"/>
        <w:rPr>
          <w:rFonts w:ascii="Tahoma" w:hAnsi="Tahoma" w:cs="Tahoma"/>
          <w:sz w:val="20"/>
        </w:rPr>
      </w:pPr>
    </w:p>
    <w:p w:rsidR="00A266E4" w:rsidRPr="00CD2781" w:rsidRDefault="00A266E4" w:rsidP="00A266E4">
      <w:pPr>
        <w:pStyle w:val="Prrafodelista"/>
        <w:widowControl/>
        <w:numPr>
          <w:ilvl w:val="0"/>
          <w:numId w:val="1"/>
        </w:numPr>
        <w:suppressAutoHyphens w:val="0"/>
        <w:jc w:val="both"/>
        <w:rPr>
          <w:rFonts w:ascii="Tahoma" w:hAnsi="Tahoma" w:cs="Tahoma"/>
          <w:sz w:val="20"/>
        </w:rPr>
      </w:pPr>
      <w:r w:rsidRPr="00CD2781">
        <w:rPr>
          <w:rFonts w:ascii="Tahoma" w:hAnsi="Tahoma" w:cs="Tahoma"/>
          <w:sz w:val="20"/>
        </w:rPr>
        <w:t>Con escrito de fecha 02 de septiembre de 2010, la Entidad  comunicó a este Colegiado los hechos antes expuestos.</w:t>
      </w:r>
    </w:p>
    <w:p w:rsidR="00A266E4" w:rsidRPr="00CD2781" w:rsidRDefault="00A266E4" w:rsidP="00A266E4">
      <w:pPr>
        <w:pStyle w:val="Prrafodelista"/>
        <w:ind w:left="454"/>
        <w:jc w:val="both"/>
        <w:rPr>
          <w:rFonts w:ascii="Tahoma" w:hAnsi="Tahoma" w:cs="Tahoma"/>
          <w:sz w:val="20"/>
        </w:rPr>
      </w:pPr>
    </w:p>
    <w:p w:rsidR="00A266E4" w:rsidRPr="00CD2781" w:rsidRDefault="00A266E4" w:rsidP="00A266E4">
      <w:pPr>
        <w:pStyle w:val="Prrafodelista"/>
        <w:widowControl/>
        <w:numPr>
          <w:ilvl w:val="0"/>
          <w:numId w:val="1"/>
        </w:numPr>
        <w:suppressAutoHyphens w:val="0"/>
        <w:jc w:val="both"/>
        <w:rPr>
          <w:rFonts w:ascii="Tahoma" w:hAnsi="Tahoma" w:cs="Tahoma"/>
          <w:sz w:val="20"/>
        </w:rPr>
      </w:pPr>
      <w:r w:rsidRPr="00CD2781">
        <w:rPr>
          <w:rFonts w:ascii="Tahoma" w:hAnsi="Tahoma" w:cs="Tahoma"/>
          <w:sz w:val="20"/>
        </w:rPr>
        <w:t>Por decreto del 09 de septiembre de 2010, el Tribunal dispuso el inicio del procedimiento administrativo sancionador al Contratista por su supuesta responsabilidad al haber dado lugar a la resolución de Contrato de Adquisición de Bienes Nº 254-2009-SEDAPAL, derivada de la Licitación Pública N° 009-2008/SEDAPAL-B</w:t>
      </w:r>
      <w:r w:rsidRPr="00CD2781">
        <w:rPr>
          <w:rFonts w:ascii="Tahoma" w:hAnsi="Tahoma" w:cs="Tahoma"/>
          <w:sz w:val="20"/>
          <w:lang w:eastAsia="en-US"/>
        </w:rPr>
        <w:t xml:space="preserve">; infracción tipificada en el literal b) del  numeral 51.1 del artículo 51 de la Ley de Contrataciones del Estado, aprobada por Decreto Legislativo Nº 1017, así como en el numeral 1 literal b) del artículo 237 de su  Reglamento. </w:t>
      </w:r>
      <w:r w:rsidRPr="00CD2781">
        <w:rPr>
          <w:rFonts w:ascii="Tahoma" w:hAnsi="Tahoma" w:cs="Tahoma"/>
          <w:sz w:val="20"/>
        </w:rPr>
        <w:t>Asimismo, se le emplazó para que dentro del plazo de diez (10) días hábiles presente sus descargos, bajo apercibimiento de resolver con la documentación obrante en autos.</w:t>
      </w:r>
    </w:p>
    <w:p w:rsidR="00A266E4" w:rsidRPr="00CD2781" w:rsidRDefault="00A266E4" w:rsidP="00A266E4">
      <w:pPr>
        <w:pStyle w:val="Prrafodelista"/>
        <w:jc w:val="both"/>
        <w:rPr>
          <w:rFonts w:ascii="Tahoma" w:hAnsi="Tahoma" w:cs="Tahoma"/>
          <w:sz w:val="20"/>
        </w:rPr>
      </w:pPr>
    </w:p>
    <w:p w:rsidR="00A266E4" w:rsidRPr="00CD2781" w:rsidRDefault="00A266E4" w:rsidP="00A266E4">
      <w:pPr>
        <w:pStyle w:val="Prrafodelista"/>
        <w:widowControl/>
        <w:numPr>
          <w:ilvl w:val="0"/>
          <w:numId w:val="1"/>
        </w:numPr>
        <w:suppressAutoHyphens w:val="0"/>
        <w:jc w:val="both"/>
        <w:rPr>
          <w:rFonts w:ascii="Tahoma" w:hAnsi="Tahoma" w:cs="Tahoma"/>
          <w:sz w:val="20"/>
        </w:rPr>
      </w:pPr>
      <w:r w:rsidRPr="00CD2781">
        <w:rPr>
          <w:rFonts w:ascii="Tahoma" w:hAnsi="Tahoma" w:cs="Tahoma"/>
          <w:sz w:val="20"/>
        </w:rPr>
        <w:t>Con escrito de fecha 12 de enero de 2011, la empresa consorciada SAN MARTIN SERVICE S.A. se apersonó al presente procedimiento y presentó sus descargos en los siguientes términos:</w:t>
      </w:r>
    </w:p>
    <w:p w:rsidR="00A266E4" w:rsidRPr="00CD2781" w:rsidRDefault="00A266E4" w:rsidP="00A266E4">
      <w:pPr>
        <w:pStyle w:val="Prrafodelista"/>
        <w:jc w:val="both"/>
        <w:rPr>
          <w:rFonts w:ascii="Tahoma" w:hAnsi="Tahoma" w:cs="Tahoma"/>
          <w:sz w:val="20"/>
        </w:rPr>
      </w:pPr>
    </w:p>
    <w:p w:rsidR="00A266E4" w:rsidRPr="00CD2781" w:rsidRDefault="00A266E4" w:rsidP="00A266E4">
      <w:pPr>
        <w:pStyle w:val="Prrafodelista"/>
        <w:widowControl/>
        <w:numPr>
          <w:ilvl w:val="0"/>
          <w:numId w:val="11"/>
        </w:numPr>
        <w:suppressAutoHyphens w:val="0"/>
        <w:jc w:val="both"/>
        <w:rPr>
          <w:rFonts w:ascii="Tahoma" w:hAnsi="Tahoma" w:cs="Tahoma"/>
          <w:sz w:val="20"/>
        </w:rPr>
      </w:pPr>
      <w:r w:rsidRPr="00CD2781">
        <w:rPr>
          <w:rFonts w:ascii="Tahoma" w:hAnsi="Tahoma" w:cs="Tahoma"/>
          <w:sz w:val="20"/>
        </w:rPr>
        <w:t>De manera previa a la participación en la L.P.Nº 009-2009-sedapal, la empresa San Martin había iniciado gestiones con la empresa mexicana NACIONAL RECUPERADORA  S.A. de C.V.  fabricante de las tapas de polietileno, obteniendo la designación como distribuidor exclusivo en el Perú para los productos de plástico de la red de alcantarillado que fabrica dicha empresa.</w:t>
      </w:r>
    </w:p>
    <w:p w:rsidR="00A266E4" w:rsidRPr="00CD2781" w:rsidRDefault="00A266E4" w:rsidP="00A266E4">
      <w:pPr>
        <w:pStyle w:val="Prrafodelista"/>
        <w:ind w:left="1174"/>
        <w:jc w:val="both"/>
        <w:rPr>
          <w:rFonts w:ascii="Tahoma" w:hAnsi="Tahoma" w:cs="Tahoma"/>
          <w:sz w:val="20"/>
        </w:rPr>
      </w:pPr>
    </w:p>
    <w:p w:rsidR="00A266E4" w:rsidRPr="00CD2781" w:rsidRDefault="00A266E4" w:rsidP="00A266E4">
      <w:pPr>
        <w:pStyle w:val="Prrafodelista"/>
        <w:widowControl/>
        <w:numPr>
          <w:ilvl w:val="0"/>
          <w:numId w:val="11"/>
        </w:numPr>
        <w:suppressAutoHyphens w:val="0"/>
        <w:jc w:val="both"/>
        <w:rPr>
          <w:rFonts w:ascii="Tahoma" w:hAnsi="Tahoma" w:cs="Tahoma"/>
          <w:sz w:val="20"/>
        </w:rPr>
      </w:pPr>
      <w:r w:rsidRPr="00CD2781">
        <w:rPr>
          <w:rFonts w:ascii="Tahoma" w:hAnsi="Tahoma" w:cs="Tahoma"/>
          <w:sz w:val="20"/>
        </w:rPr>
        <w:t>A fin de cumplir con la entrega de las tapas en las condiciones solicitadas, se requirió al fabricante NARESA se comprometa a cumplir las especificaciones técnicas y los requerimientos técnico mínimos, el plazo de entrega y la garantía de los productos de 18 meses por cualquier defecto de fabricación.</w:t>
      </w:r>
    </w:p>
    <w:p w:rsidR="00A266E4" w:rsidRPr="00CD2781" w:rsidRDefault="00A266E4" w:rsidP="00A266E4">
      <w:pPr>
        <w:pStyle w:val="Prrafodelista"/>
        <w:jc w:val="both"/>
        <w:rPr>
          <w:rFonts w:ascii="Tahoma" w:hAnsi="Tahoma" w:cs="Tahoma"/>
          <w:sz w:val="20"/>
        </w:rPr>
      </w:pPr>
    </w:p>
    <w:p w:rsidR="00A266E4" w:rsidRPr="00CD2781" w:rsidRDefault="00A266E4" w:rsidP="00A266E4">
      <w:pPr>
        <w:pStyle w:val="Prrafodelista"/>
        <w:widowControl/>
        <w:numPr>
          <w:ilvl w:val="0"/>
          <w:numId w:val="11"/>
        </w:numPr>
        <w:suppressAutoHyphens w:val="0"/>
        <w:jc w:val="both"/>
        <w:rPr>
          <w:rFonts w:ascii="Tahoma" w:hAnsi="Tahoma" w:cs="Tahoma"/>
          <w:sz w:val="20"/>
        </w:rPr>
      </w:pPr>
      <w:r w:rsidRPr="00CD2781">
        <w:rPr>
          <w:rFonts w:ascii="Tahoma" w:hAnsi="Tahoma" w:cs="Tahoma"/>
          <w:sz w:val="20"/>
        </w:rPr>
        <w:t>Se le solicitó un Informe de Ensayo del Laboratorio de Estructuras de la PUCP INF-LE262-09 sobre la muestra de una tapa proporcionada por NARESA.</w:t>
      </w:r>
    </w:p>
    <w:p w:rsidR="00A266E4" w:rsidRPr="00CD2781" w:rsidRDefault="00A266E4" w:rsidP="00A266E4">
      <w:pPr>
        <w:pStyle w:val="Prrafodelista"/>
        <w:jc w:val="both"/>
        <w:rPr>
          <w:rFonts w:ascii="Tahoma" w:hAnsi="Tahoma" w:cs="Tahoma"/>
          <w:sz w:val="20"/>
        </w:rPr>
      </w:pPr>
    </w:p>
    <w:p w:rsidR="00A266E4" w:rsidRPr="00CD2781" w:rsidRDefault="00A266E4" w:rsidP="00A266E4">
      <w:pPr>
        <w:pStyle w:val="Prrafodelista"/>
        <w:widowControl/>
        <w:numPr>
          <w:ilvl w:val="0"/>
          <w:numId w:val="11"/>
        </w:numPr>
        <w:suppressAutoHyphens w:val="0"/>
        <w:jc w:val="both"/>
        <w:rPr>
          <w:rFonts w:ascii="Tahoma" w:hAnsi="Tahoma" w:cs="Tahoma"/>
          <w:sz w:val="20"/>
        </w:rPr>
      </w:pPr>
      <w:r w:rsidRPr="00CD2781">
        <w:rPr>
          <w:rFonts w:ascii="Tahoma" w:hAnsi="Tahoma" w:cs="Tahoma"/>
          <w:sz w:val="20"/>
        </w:rPr>
        <w:t>Una vez obtenida la buena pro, el 11 de agosto de 2009, se continuaron las coordinaciones con el Operador Logístico Continental Expeditors a fin de reservar un contenedor de carga.</w:t>
      </w:r>
    </w:p>
    <w:p w:rsidR="00A266E4" w:rsidRPr="00CD2781" w:rsidRDefault="00A266E4" w:rsidP="00A266E4">
      <w:pPr>
        <w:pStyle w:val="Prrafodelista"/>
        <w:jc w:val="both"/>
        <w:rPr>
          <w:rFonts w:ascii="Tahoma" w:hAnsi="Tahoma" w:cs="Tahoma"/>
          <w:sz w:val="20"/>
        </w:rPr>
      </w:pPr>
    </w:p>
    <w:p w:rsidR="00A266E4" w:rsidRPr="00CD2781" w:rsidRDefault="00A266E4" w:rsidP="00A266E4">
      <w:pPr>
        <w:pStyle w:val="Prrafodelista"/>
        <w:widowControl/>
        <w:numPr>
          <w:ilvl w:val="0"/>
          <w:numId w:val="11"/>
        </w:numPr>
        <w:suppressAutoHyphens w:val="0"/>
        <w:jc w:val="both"/>
        <w:rPr>
          <w:rFonts w:ascii="Tahoma" w:hAnsi="Tahoma" w:cs="Tahoma"/>
          <w:sz w:val="20"/>
        </w:rPr>
      </w:pPr>
      <w:r w:rsidRPr="00CD2781">
        <w:rPr>
          <w:rFonts w:ascii="Tahoma" w:hAnsi="Tahoma" w:cs="Tahoma"/>
          <w:sz w:val="20"/>
        </w:rPr>
        <w:t>Mediante correo electrónico de fecha 28 de septiembre de 2009, la empresa NARESA remitió un correo electrónico que contenía un archivo adjunto respecto a una prueba mecánica de calidad practicada a la Tapa para pozo de vista económica con logo del Perú y en el cual las 2 tapas probadas no tuvieron ruptura.</w:t>
      </w:r>
    </w:p>
    <w:p w:rsidR="00A266E4" w:rsidRPr="00CD2781" w:rsidRDefault="00A266E4" w:rsidP="00A266E4">
      <w:pPr>
        <w:pStyle w:val="Prrafodelista"/>
        <w:jc w:val="both"/>
        <w:rPr>
          <w:rFonts w:ascii="Tahoma" w:hAnsi="Tahoma" w:cs="Tahoma"/>
          <w:sz w:val="20"/>
        </w:rPr>
      </w:pPr>
    </w:p>
    <w:p w:rsidR="00A266E4" w:rsidRPr="00CD2781" w:rsidRDefault="00A266E4" w:rsidP="00A266E4">
      <w:pPr>
        <w:pStyle w:val="Prrafodelista"/>
        <w:widowControl/>
        <w:numPr>
          <w:ilvl w:val="0"/>
          <w:numId w:val="11"/>
        </w:numPr>
        <w:suppressAutoHyphens w:val="0"/>
        <w:jc w:val="both"/>
        <w:rPr>
          <w:rFonts w:ascii="Tahoma" w:hAnsi="Tahoma" w:cs="Tahoma"/>
          <w:sz w:val="20"/>
        </w:rPr>
      </w:pPr>
      <w:r w:rsidRPr="00CD2781">
        <w:rPr>
          <w:rFonts w:ascii="Tahoma" w:hAnsi="Tahoma" w:cs="Tahoma"/>
          <w:sz w:val="20"/>
        </w:rPr>
        <w:t>En el mes de octubre, al hallarse fallas en las pruebas a las muestras del lote de 200 tapas, se coordinó con el fabricante NARESA a efectos de solucionar el referido impase.</w:t>
      </w:r>
    </w:p>
    <w:p w:rsidR="00A266E4" w:rsidRPr="00CD2781" w:rsidRDefault="00A266E4" w:rsidP="00A266E4">
      <w:pPr>
        <w:pStyle w:val="Prrafodelista"/>
        <w:jc w:val="both"/>
        <w:rPr>
          <w:rFonts w:ascii="Tahoma" w:hAnsi="Tahoma" w:cs="Tahoma"/>
          <w:sz w:val="20"/>
        </w:rPr>
      </w:pPr>
    </w:p>
    <w:p w:rsidR="00A266E4" w:rsidRPr="00CD2781" w:rsidRDefault="00A266E4" w:rsidP="00A266E4">
      <w:pPr>
        <w:pStyle w:val="Prrafodelista"/>
        <w:widowControl/>
        <w:numPr>
          <w:ilvl w:val="0"/>
          <w:numId w:val="11"/>
        </w:numPr>
        <w:suppressAutoHyphens w:val="0"/>
        <w:jc w:val="both"/>
        <w:rPr>
          <w:rFonts w:ascii="Tahoma" w:hAnsi="Tahoma" w:cs="Tahoma"/>
          <w:sz w:val="20"/>
        </w:rPr>
      </w:pPr>
      <w:r w:rsidRPr="00CD2781">
        <w:rPr>
          <w:rFonts w:ascii="Tahoma" w:hAnsi="Tahoma" w:cs="Tahoma"/>
          <w:sz w:val="20"/>
        </w:rPr>
        <w:t xml:space="preserve">Con carta de fecha 15 de octubre de 2009, se le indicó a la Entidad la disposición a solucionar los resultados de las pruebas efectuadas en las </w:t>
      </w:r>
      <w:r w:rsidRPr="00CD2781">
        <w:rPr>
          <w:rFonts w:ascii="Tahoma" w:hAnsi="Tahoma" w:cs="Tahoma"/>
          <w:sz w:val="20"/>
        </w:rPr>
        <w:lastRenderedPageBreak/>
        <w:t>muestras del primer lote de tapas, indicándose que se encontraban en coordinaciones con el fabricante para solucionar dicho impase.</w:t>
      </w:r>
    </w:p>
    <w:p w:rsidR="00A266E4" w:rsidRPr="00CD2781" w:rsidRDefault="00A266E4" w:rsidP="00A266E4">
      <w:pPr>
        <w:pStyle w:val="Prrafodelista"/>
        <w:jc w:val="both"/>
        <w:rPr>
          <w:rFonts w:ascii="Tahoma" w:hAnsi="Tahoma" w:cs="Tahoma"/>
          <w:sz w:val="20"/>
        </w:rPr>
      </w:pPr>
    </w:p>
    <w:p w:rsidR="00A266E4" w:rsidRPr="00CD2781" w:rsidRDefault="00A266E4" w:rsidP="00A266E4">
      <w:pPr>
        <w:pStyle w:val="Prrafodelista"/>
        <w:widowControl/>
        <w:numPr>
          <w:ilvl w:val="0"/>
          <w:numId w:val="11"/>
        </w:numPr>
        <w:suppressAutoHyphens w:val="0"/>
        <w:jc w:val="both"/>
        <w:rPr>
          <w:rFonts w:ascii="Tahoma" w:hAnsi="Tahoma" w:cs="Tahoma"/>
          <w:sz w:val="20"/>
        </w:rPr>
      </w:pPr>
      <w:r w:rsidRPr="00CD2781">
        <w:rPr>
          <w:rFonts w:ascii="Tahoma" w:hAnsi="Tahoma" w:cs="Tahoma"/>
          <w:sz w:val="20"/>
        </w:rPr>
        <w:t>Mediante correo electrónico de fecha 02 de noviembre de 2009, se formuló un reclamo formal a la empresa NARESA.</w:t>
      </w:r>
    </w:p>
    <w:p w:rsidR="00A266E4" w:rsidRPr="00CD2781" w:rsidRDefault="00A266E4" w:rsidP="00A266E4">
      <w:pPr>
        <w:pStyle w:val="Prrafodelista"/>
        <w:jc w:val="both"/>
        <w:rPr>
          <w:rFonts w:ascii="Tahoma" w:hAnsi="Tahoma" w:cs="Tahoma"/>
          <w:sz w:val="20"/>
        </w:rPr>
      </w:pPr>
    </w:p>
    <w:p w:rsidR="00A266E4" w:rsidRPr="00CD2781" w:rsidRDefault="00A266E4" w:rsidP="00A266E4">
      <w:pPr>
        <w:pStyle w:val="Prrafodelista"/>
        <w:widowControl/>
        <w:numPr>
          <w:ilvl w:val="0"/>
          <w:numId w:val="11"/>
        </w:numPr>
        <w:suppressAutoHyphens w:val="0"/>
        <w:jc w:val="both"/>
        <w:rPr>
          <w:rFonts w:ascii="Tahoma" w:hAnsi="Tahoma" w:cs="Tahoma"/>
          <w:sz w:val="20"/>
        </w:rPr>
      </w:pPr>
      <w:r w:rsidRPr="00CD2781">
        <w:rPr>
          <w:rFonts w:ascii="Tahoma" w:hAnsi="Tahoma" w:cs="Tahoma"/>
          <w:sz w:val="20"/>
        </w:rPr>
        <w:t xml:space="preserve"> Con carta de fecha 29 de octubre de 2009, el fabricante dio respuesta al reclamo del contratista, e indicó que se ha procedido a reemplazar el total del lote de 200 piezas, para lo cual se ha buscado que las piezas no pesen menos de lo estipulado, así como se han adaptado a una prensa y una huella de 6 pulgadas de diámetro como lo estipula la norma peruana.</w:t>
      </w:r>
    </w:p>
    <w:p w:rsidR="00A266E4" w:rsidRPr="00CD2781" w:rsidRDefault="00A266E4" w:rsidP="00A266E4">
      <w:pPr>
        <w:pStyle w:val="Prrafodelista"/>
        <w:jc w:val="both"/>
        <w:rPr>
          <w:rFonts w:ascii="Tahoma" w:hAnsi="Tahoma" w:cs="Tahoma"/>
          <w:sz w:val="20"/>
        </w:rPr>
      </w:pPr>
    </w:p>
    <w:p w:rsidR="00A266E4" w:rsidRPr="00CD2781" w:rsidRDefault="00A266E4" w:rsidP="00A266E4">
      <w:pPr>
        <w:numPr>
          <w:ilvl w:val="0"/>
          <w:numId w:val="11"/>
        </w:numPr>
        <w:spacing w:after="0" w:line="240" w:lineRule="auto"/>
        <w:jc w:val="both"/>
        <w:rPr>
          <w:rFonts w:ascii="Tahoma" w:hAnsi="Tahoma" w:cs="Tahoma"/>
          <w:sz w:val="20"/>
          <w:szCs w:val="20"/>
          <w:lang w:val="es-PE"/>
        </w:rPr>
      </w:pPr>
      <w:r w:rsidRPr="00CD2781">
        <w:rPr>
          <w:rFonts w:ascii="Tahoma" w:hAnsi="Tahoma" w:cs="Tahoma"/>
          <w:sz w:val="20"/>
          <w:szCs w:val="20"/>
          <w:lang w:val="es-PE"/>
        </w:rPr>
        <w:t xml:space="preserve">Lamentablemente, a pesar que se intentó actuar con la debida diligencia, y se tomo las precauciones del caso, el segundo lote remitido por la empresa NARESA no cumplió con las especificaciones requeridas por la Entidad., debido a una falla de fabricación del producto. Por tal razón se considera que el incumplimiento incurrido no resulta ser injustificado, sino que obedece al hecho de un tercero y que ha escapado a la voluntad del contratista. </w:t>
      </w:r>
    </w:p>
    <w:p w:rsidR="00A266E4" w:rsidRPr="00CD2781" w:rsidRDefault="00A266E4" w:rsidP="00A266E4">
      <w:pPr>
        <w:pStyle w:val="Prrafodelista"/>
        <w:jc w:val="both"/>
        <w:rPr>
          <w:rFonts w:ascii="Tahoma" w:hAnsi="Tahoma" w:cs="Tahoma"/>
          <w:sz w:val="20"/>
          <w:lang w:val="es-PE"/>
        </w:rPr>
      </w:pPr>
    </w:p>
    <w:p w:rsidR="00A266E4" w:rsidRPr="00CD2781" w:rsidRDefault="00A266E4" w:rsidP="00A266E4">
      <w:pPr>
        <w:numPr>
          <w:ilvl w:val="0"/>
          <w:numId w:val="11"/>
        </w:numPr>
        <w:spacing w:after="0" w:line="240" w:lineRule="auto"/>
        <w:jc w:val="both"/>
        <w:rPr>
          <w:rFonts w:ascii="Tahoma" w:hAnsi="Tahoma" w:cs="Tahoma"/>
          <w:sz w:val="20"/>
          <w:szCs w:val="20"/>
          <w:lang w:val="es-PE"/>
        </w:rPr>
      </w:pPr>
      <w:r w:rsidRPr="00CD2781">
        <w:rPr>
          <w:rFonts w:ascii="Tahoma" w:hAnsi="Tahoma" w:cs="Tahoma"/>
          <w:sz w:val="20"/>
          <w:szCs w:val="20"/>
          <w:lang w:val="es-PE"/>
        </w:rPr>
        <w:t>La Norma Técnica Peruana NTP 339.111 que utilizó la Entidad para el presente proceso se denomina TAPAS DE HORMIGON (CONCRETO) CON MARCO DE FIERRO FUNDIDO PARA BUZONES E INSTALACIONES AFINES, lo cual no se condice con la naturaleza de tapas de plástico. Cabe precisar que la Norma Técnica Peruana NTP 339.111 exige que la carga puntual de rotura sea mayor o igual a 12 TN pero no puede ser aplicada de ninguna manera como exigencia para que la carga máxima de rotura sea mayor a 20 TN, dado que ello no se consigna en el contenido de dicha norma. Lamentablemente, por cuestiones de plazo, no se pudo formular las consultas y observaciones a las Bases.</w:t>
      </w:r>
    </w:p>
    <w:p w:rsidR="00A266E4" w:rsidRPr="00CD2781" w:rsidRDefault="00A266E4" w:rsidP="00A266E4">
      <w:pPr>
        <w:pStyle w:val="Prrafodelista"/>
        <w:jc w:val="both"/>
        <w:rPr>
          <w:rFonts w:ascii="Tahoma" w:hAnsi="Tahoma" w:cs="Tahoma"/>
          <w:sz w:val="20"/>
          <w:lang w:val="es-PE"/>
        </w:rPr>
      </w:pPr>
    </w:p>
    <w:p w:rsidR="00A266E4" w:rsidRPr="00CD2781" w:rsidRDefault="00A266E4" w:rsidP="00A266E4">
      <w:pPr>
        <w:numPr>
          <w:ilvl w:val="0"/>
          <w:numId w:val="11"/>
        </w:numPr>
        <w:spacing w:after="0" w:line="240" w:lineRule="auto"/>
        <w:jc w:val="both"/>
        <w:rPr>
          <w:rFonts w:ascii="Tahoma" w:hAnsi="Tahoma" w:cs="Tahoma"/>
          <w:sz w:val="20"/>
          <w:szCs w:val="20"/>
          <w:lang w:val="es-PE"/>
        </w:rPr>
      </w:pPr>
      <w:r w:rsidRPr="00CD2781">
        <w:rPr>
          <w:rFonts w:ascii="Tahoma" w:hAnsi="Tahoma" w:cs="Tahoma"/>
          <w:sz w:val="20"/>
          <w:szCs w:val="20"/>
          <w:lang w:val="es-PE"/>
        </w:rPr>
        <w:t>el contratista conoce y acepta que el criterio tecno utilizado no ha sido el más adecuado, y aun cuando las tapas de polietileno no se ajustan a la NTP de las tapas de fierro, con la mejor intención de no perjudicar a la Entidad y dado que las tapas suministradas pueden ser utilizadas en vías que no soporten un tránsito de carga excesiva, se ofreció a la  Entidad  un descuento del 50% del producto.</w:t>
      </w:r>
    </w:p>
    <w:p w:rsidR="00A266E4" w:rsidRPr="00CD2781" w:rsidRDefault="00A266E4" w:rsidP="00A266E4">
      <w:pPr>
        <w:pStyle w:val="Prrafodelista"/>
        <w:jc w:val="both"/>
        <w:rPr>
          <w:rFonts w:ascii="Tahoma" w:hAnsi="Tahoma" w:cs="Tahoma"/>
          <w:sz w:val="20"/>
          <w:lang w:val="es-PE"/>
        </w:rPr>
      </w:pPr>
    </w:p>
    <w:p w:rsidR="00A266E4" w:rsidRPr="00CD2781" w:rsidRDefault="00A266E4" w:rsidP="00A266E4">
      <w:pPr>
        <w:numPr>
          <w:ilvl w:val="0"/>
          <w:numId w:val="11"/>
        </w:numPr>
        <w:spacing w:after="0" w:line="240" w:lineRule="auto"/>
        <w:jc w:val="both"/>
        <w:rPr>
          <w:rFonts w:ascii="Tahoma" w:hAnsi="Tahoma" w:cs="Tahoma"/>
          <w:sz w:val="20"/>
          <w:szCs w:val="20"/>
          <w:lang w:val="es-PE"/>
        </w:rPr>
      </w:pPr>
      <w:r w:rsidRPr="00CD2781">
        <w:rPr>
          <w:rFonts w:ascii="Tahoma" w:hAnsi="Tahoma" w:cs="Tahoma"/>
          <w:sz w:val="20"/>
          <w:szCs w:val="20"/>
          <w:lang w:val="es-PE"/>
        </w:rPr>
        <w:t>Cabe agregar que el Contratista ya ha sufrido una cuantiosa perdida económica como resultado de la ejecución de la garantía de fiel cumplimiento por la suma de S/. 119,800.00 nuevos soles.</w:t>
      </w:r>
    </w:p>
    <w:p w:rsidR="00A266E4" w:rsidRPr="00CD2781" w:rsidRDefault="00A266E4" w:rsidP="00A266E4">
      <w:pPr>
        <w:pStyle w:val="Prrafodelista"/>
        <w:jc w:val="both"/>
        <w:rPr>
          <w:rFonts w:ascii="Tahoma" w:hAnsi="Tahoma" w:cs="Tahoma"/>
          <w:sz w:val="20"/>
          <w:lang w:val="es-PE"/>
        </w:rPr>
      </w:pPr>
    </w:p>
    <w:p w:rsidR="00A266E4" w:rsidRPr="00CD2781" w:rsidRDefault="00A266E4" w:rsidP="00A266E4">
      <w:pPr>
        <w:numPr>
          <w:ilvl w:val="0"/>
          <w:numId w:val="11"/>
        </w:numPr>
        <w:spacing w:after="0" w:line="240" w:lineRule="auto"/>
        <w:jc w:val="both"/>
        <w:rPr>
          <w:rFonts w:ascii="Tahoma" w:hAnsi="Tahoma" w:cs="Tahoma"/>
          <w:sz w:val="20"/>
          <w:szCs w:val="20"/>
          <w:lang w:val="es-PE"/>
        </w:rPr>
      </w:pPr>
      <w:r w:rsidRPr="00CD2781">
        <w:rPr>
          <w:rFonts w:ascii="Tahoma" w:hAnsi="Tahoma" w:cs="Tahoma"/>
          <w:sz w:val="20"/>
          <w:szCs w:val="20"/>
          <w:lang w:val="es-PE"/>
        </w:rPr>
        <w:t>Asimismo, indicó que la empresa PENTAGAS debería ser eximida de sanción toda vez que únicamente ha realizado apoyo financiero y solo eso., sin haber tenido injerencia en las cuestiones técnicas.</w:t>
      </w:r>
    </w:p>
    <w:p w:rsidR="00A266E4" w:rsidRPr="00CD2781" w:rsidRDefault="00A266E4" w:rsidP="00A266E4">
      <w:pPr>
        <w:pStyle w:val="Prrafodelista"/>
        <w:rPr>
          <w:rFonts w:ascii="Tahoma" w:hAnsi="Tahoma" w:cs="Tahoma"/>
          <w:sz w:val="20"/>
          <w:lang w:val="es-PE"/>
        </w:rPr>
      </w:pPr>
    </w:p>
    <w:p w:rsidR="00A266E4" w:rsidRPr="00CD2781" w:rsidRDefault="00A266E4" w:rsidP="00A266E4">
      <w:pPr>
        <w:numPr>
          <w:ilvl w:val="0"/>
          <w:numId w:val="11"/>
        </w:numPr>
        <w:spacing w:after="0" w:line="240" w:lineRule="auto"/>
        <w:jc w:val="both"/>
        <w:rPr>
          <w:rFonts w:ascii="Tahoma" w:hAnsi="Tahoma" w:cs="Tahoma"/>
          <w:sz w:val="20"/>
          <w:szCs w:val="20"/>
          <w:lang w:val="es-PE"/>
        </w:rPr>
      </w:pPr>
      <w:r w:rsidRPr="00CD2781">
        <w:rPr>
          <w:rFonts w:ascii="Tahoma" w:hAnsi="Tahoma" w:cs="Tahoma"/>
          <w:sz w:val="20"/>
          <w:szCs w:val="20"/>
          <w:lang w:val="es-PE"/>
        </w:rPr>
        <w:t>Adicionalmente, se indicó que la extinción del vínculo contractual realizada por Resolución Nº 437-2010-GG, según la Entidad, habría sido  comunicada al contratista con Carta Nº 007-2010-GLS. Sin embargo, dicha carta nunca fue recibida por el Contratista, pues si bien es cierto, la certificación notarial indica que en dicha diligencia intervino la Sra Esmeralda Rossana Castrillon, no obra su firma de conformidad en el documento en cuestión.</w:t>
      </w:r>
    </w:p>
    <w:p w:rsidR="00A266E4" w:rsidRPr="00CD2781" w:rsidRDefault="00A266E4" w:rsidP="00A266E4">
      <w:pPr>
        <w:pStyle w:val="Prrafodelista"/>
        <w:ind w:left="454"/>
        <w:jc w:val="both"/>
        <w:rPr>
          <w:rFonts w:ascii="Tahoma" w:hAnsi="Tahoma" w:cs="Tahoma"/>
          <w:sz w:val="20"/>
        </w:rPr>
      </w:pPr>
    </w:p>
    <w:p w:rsidR="00A266E4" w:rsidRPr="00CD2781" w:rsidRDefault="00A266E4" w:rsidP="00A266E4">
      <w:pPr>
        <w:pStyle w:val="Prrafodelista"/>
        <w:widowControl/>
        <w:numPr>
          <w:ilvl w:val="0"/>
          <w:numId w:val="1"/>
        </w:numPr>
        <w:suppressAutoHyphens w:val="0"/>
        <w:jc w:val="both"/>
        <w:rPr>
          <w:rFonts w:ascii="Tahoma" w:hAnsi="Tahoma" w:cs="Tahoma"/>
          <w:sz w:val="20"/>
        </w:rPr>
      </w:pPr>
      <w:r w:rsidRPr="00CD2781">
        <w:rPr>
          <w:rFonts w:ascii="Tahoma" w:hAnsi="Tahoma" w:cs="Tahoma"/>
          <w:sz w:val="20"/>
          <w:lang w:val="es-PE"/>
        </w:rPr>
        <w:lastRenderedPageBreak/>
        <w:t>Con escrito de fecha 17 de diciembre de 2010, la empresa consorciada PENTAGAS S.A.C. presentó sus descargos en los siguientes términos:</w:t>
      </w:r>
    </w:p>
    <w:p w:rsidR="00CD2781" w:rsidRDefault="00CD2781" w:rsidP="00CD2781">
      <w:pPr>
        <w:spacing w:after="0" w:line="240" w:lineRule="auto"/>
        <w:ind w:left="1134"/>
        <w:jc w:val="both"/>
        <w:rPr>
          <w:rFonts w:ascii="Tahoma" w:hAnsi="Tahoma" w:cs="Tahoma"/>
          <w:sz w:val="20"/>
          <w:szCs w:val="20"/>
          <w:lang w:val="es-PE"/>
        </w:rPr>
      </w:pPr>
    </w:p>
    <w:p w:rsidR="00A266E4" w:rsidRPr="00CD2781" w:rsidRDefault="00A266E4" w:rsidP="00A266E4">
      <w:pPr>
        <w:numPr>
          <w:ilvl w:val="0"/>
          <w:numId w:val="12"/>
        </w:numPr>
        <w:tabs>
          <w:tab w:val="clear" w:pos="720"/>
          <w:tab w:val="num" w:pos="1134"/>
        </w:tabs>
        <w:spacing w:after="0" w:line="240" w:lineRule="auto"/>
        <w:ind w:left="1134" w:hanging="283"/>
        <w:jc w:val="both"/>
        <w:rPr>
          <w:rFonts w:ascii="Tahoma" w:hAnsi="Tahoma" w:cs="Tahoma"/>
          <w:sz w:val="20"/>
          <w:szCs w:val="20"/>
          <w:lang w:val="es-PE"/>
        </w:rPr>
      </w:pPr>
      <w:r w:rsidRPr="00CD2781">
        <w:rPr>
          <w:rFonts w:ascii="Tahoma" w:hAnsi="Tahoma" w:cs="Tahoma"/>
          <w:sz w:val="20"/>
          <w:szCs w:val="20"/>
          <w:lang w:val="es-PE"/>
        </w:rPr>
        <w:t>Se dedicó únicamente a la gestión financiera, con un 2% de participación, correspondiéndole a la otra consorciada las actividades de planificación, gestión de fabricación y coordinación con el fabricante.</w:t>
      </w:r>
    </w:p>
    <w:p w:rsidR="00CD2781" w:rsidRDefault="00CD2781" w:rsidP="00CD2781">
      <w:pPr>
        <w:spacing w:after="0" w:line="240" w:lineRule="auto"/>
        <w:ind w:left="1134"/>
        <w:jc w:val="both"/>
        <w:rPr>
          <w:rFonts w:ascii="Tahoma" w:hAnsi="Tahoma" w:cs="Tahoma"/>
          <w:sz w:val="20"/>
          <w:szCs w:val="20"/>
          <w:lang w:val="es-PE"/>
        </w:rPr>
      </w:pPr>
    </w:p>
    <w:p w:rsidR="00A266E4" w:rsidRPr="00CD2781" w:rsidRDefault="00A266E4" w:rsidP="00A266E4">
      <w:pPr>
        <w:numPr>
          <w:ilvl w:val="0"/>
          <w:numId w:val="12"/>
        </w:numPr>
        <w:tabs>
          <w:tab w:val="clear" w:pos="720"/>
          <w:tab w:val="num" w:pos="1134"/>
        </w:tabs>
        <w:spacing w:after="0" w:line="240" w:lineRule="auto"/>
        <w:ind w:left="1134" w:hanging="283"/>
        <w:jc w:val="both"/>
        <w:rPr>
          <w:rFonts w:ascii="Tahoma" w:hAnsi="Tahoma" w:cs="Tahoma"/>
          <w:sz w:val="20"/>
          <w:szCs w:val="20"/>
          <w:lang w:val="es-PE"/>
        </w:rPr>
      </w:pPr>
      <w:r w:rsidRPr="00CD2781">
        <w:rPr>
          <w:rFonts w:ascii="Tahoma" w:hAnsi="Tahoma" w:cs="Tahoma"/>
          <w:sz w:val="20"/>
          <w:szCs w:val="20"/>
          <w:lang w:val="es-PE"/>
        </w:rPr>
        <w:t>Sólo se ha proporcionado apoyo financiero, no se ha tenido injerencia en la parte técnica.</w:t>
      </w:r>
    </w:p>
    <w:p w:rsidR="00A266E4" w:rsidRPr="00CD2781" w:rsidRDefault="00A266E4" w:rsidP="00A266E4">
      <w:pPr>
        <w:pStyle w:val="Prrafodelista"/>
        <w:jc w:val="both"/>
        <w:rPr>
          <w:rFonts w:ascii="Tahoma" w:hAnsi="Tahoma" w:cs="Tahoma"/>
          <w:sz w:val="20"/>
          <w:lang w:val="es-PE"/>
        </w:rPr>
      </w:pPr>
    </w:p>
    <w:p w:rsidR="00A266E4" w:rsidRPr="00CD2781" w:rsidRDefault="00A266E4" w:rsidP="00A266E4">
      <w:pPr>
        <w:numPr>
          <w:ilvl w:val="0"/>
          <w:numId w:val="12"/>
        </w:numPr>
        <w:tabs>
          <w:tab w:val="clear" w:pos="720"/>
          <w:tab w:val="num" w:pos="1134"/>
        </w:tabs>
        <w:spacing w:after="0" w:line="240" w:lineRule="auto"/>
        <w:ind w:left="1134" w:hanging="283"/>
        <w:jc w:val="both"/>
        <w:rPr>
          <w:rFonts w:ascii="Tahoma" w:hAnsi="Tahoma" w:cs="Tahoma"/>
          <w:sz w:val="20"/>
          <w:szCs w:val="20"/>
          <w:lang w:val="es-PE"/>
        </w:rPr>
      </w:pPr>
      <w:r w:rsidRPr="00CD2781">
        <w:rPr>
          <w:rFonts w:ascii="Tahoma" w:hAnsi="Tahoma" w:cs="Tahoma"/>
          <w:sz w:val="20"/>
          <w:szCs w:val="20"/>
          <w:lang w:val="es-PE"/>
        </w:rPr>
        <w:t>Si bien existe responsabilidad solidaria, esta no se extiende al procedimiento sancionador; por ello solicita se le exima de responsabilidad administrativa.</w:t>
      </w:r>
    </w:p>
    <w:p w:rsidR="00A266E4" w:rsidRPr="00CD2781" w:rsidRDefault="00A266E4" w:rsidP="00A266E4">
      <w:pPr>
        <w:pStyle w:val="Prrafodelista"/>
        <w:ind w:left="454"/>
        <w:jc w:val="both"/>
        <w:rPr>
          <w:rFonts w:ascii="Tahoma" w:hAnsi="Tahoma" w:cs="Tahoma"/>
          <w:sz w:val="20"/>
          <w:lang w:val="es-PE"/>
        </w:rPr>
      </w:pPr>
    </w:p>
    <w:p w:rsidR="00A266E4" w:rsidRPr="00CD2781" w:rsidRDefault="00A266E4" w:rsidP="00A266E4">
      <w:pPr>
        <w:pStyle w:val="Prrafodelista"/>
        <w:widowControl/>
        <w:numPr>
          <w:ilvl w:val="0"/>
          <w:numId w:val="1"/>
        </w:numPr>
        <w:suppressAutoHyphens w:val="0"/>
        <w:jc w:val="both"/>
        <w:rPr>
          <w:rFonts w:ascii="Tahoma" w:hAnsi="Tahoma" w:cs="Tahoma"/>
          <w:sz w:val="20"/>
        </w:rPr>
      </w:pPr>
      <w:r w:rsidRPr="00CD2781">
        <w:rPr>
          <w:rFonts w:ascii="Tahoma" w:hAnsi="Tahoma" w:cs="Tahoma"/>
          <w:sz w:val="20"/>
          <w:lang w:val="es-PE"/>
        </w:rPr>
        <w:t>Con decreto de fecha 17 de enero de 2011, se remitió el expediente a la Primera Sala del Tribunal para que emita pronunciamiento.</w:t>
      </w:r>
    </w:p>
    <w:p w:rsidR="00A266E4" w:rsidRPr="00CD2781" w:rsidRDefault="00A266E4" w:rsidP="00A266E4">
      <w:pPr>
        <w:pStyle w:val="Prrafodelista"/>
        <w:ind w:left="454"/>
        <w:jc w:val="both"/>
        <w:rPr>
          <w:rFonts w:ascii="Tahoma" w:hAnsi="Tahoma" w:cs="Tahoma"/>
          <w:sz w:val="20"/>
        </w:rPr>
      </w:pPr>
    </w:p>
    <w:p w:rsidR="00A266E4" w:rsidRPr="00CD2781" w:rsidRDefault="00A266E4" w:rsidP="00A266E4">
      <w:pPr>
        <w:pStyle w:val="Prrafodelista"/>
        <w:widowControl/>
        <w:numPr>
          <w:ilvl w:val="0"/>
          <w:numId w:val="1"/>
        </w:numPr>
        <w:suppressAutoHyphens w:val="0"/>
        <w:jc w:val="both"/>
        <w:rPr>
          <w:rFonts w:ascii="Tahoma" w:hAnsi="Tahoma" w:cs="Tahoma"/>
          <w:sz w:val="20"/>
        </w:rPr>
      </w:pPr>
      <w:r w:rsidRPr="00CD2781">
        <w:rPr>
          <w:rFonts w:ascii="Tahoma" w:hAnsi="Tahoma" w:cs="Tahoma"/>
          <w:sz w:val="20"/>
        </w:rPr>
        <w:t>El 17 de marzo de 2011 se programó la diligencia de audiencia pública, la cual no se llevó a cabo por inasistencia de las partes.</w:t>
      </w:r>
    </w:p>
    <w:p w:rsidR="00A266E4" w:rsidRDefault="00A266E4" w:rsidP="00A266E4">
      <w:pPr>
        <w:pStyle w:val="Prrafodelista"/>
        <w:ind w:left="567"/>
        <w:jc w:val="both"/>
        <w:rPr>
          <w:rFonts w:ascii="Tahoma" w:hAnsi="Tahoma" w:cs="Tahoma"/>
          <w:sz w:val="20"/>
          <w:lang w:val="es-ES"/>
        </w:rPr>
      </w:pPr>
    </w:p>
    <w:p w:rsidR="00A266E4" w:rsidRPr="00CD2781" w:rsidRDefault="00A266E4" w:rsidP="00A266E4">
      <w:pPr>
        <w:tabs>
          <w:tab w:val="num" w:pos="9720"/>
        </w:tabs>
        <w:spacing w:after="0" w:line="240" w:lineRule="auto"/>
        <w:jc w:val="both"/>
        <w:rPr>
          <w:rFonts w:ascii="Tahoma" w:hAnsi="Tahoma" w:cs="Tahoma"/>
          <w:b/>
          <w:sz w:val="20"/>
          <w:szCs w:val="20"/>
        </w:rPr>
      </w:pPr>
      <w:r w:rsidRPr="00CD2781">
        <w:rPr>
          <w:rFonts w:ascii="Tahoma" w:hAnsi="Tahoma" w:cs="Tahoma"/>
          <w:b/>
          <w:sz w:val="20"/>
          <w:szCs w:val="20"/>
        </w:rPr>
        <w:t>FUNDAMENTACIÓN:</w:t>
      </w:r>
    </w:p>
    <w:p w:rsidR="00CD2781" w:rsidRDefault="00CD2781" w:rsidP="00CD2781">
      <w:pPr>
        <w:spacing w:after="0" w:line="240" w:lineRule="auto"/>
        <w:ind w:left="900"/>
        <w:jc w:val="both"/>
        <w:rPr>
          <w:rFonts w:ascii="Tahoma" w:hAnsi="Tahoma" w:cs="Tahoma"/>
          <w:sz w:val="20"/>
          <w:szCs w:val="20"/>
        </w:rPr>
      </w:pPr>
    </w:p>
    <w:p w:rsidR="00A266E4" w:rsidRDefault="00A266E4" w:rsidP="00656746">
      <w:pPr>
        <w:numPr>
          <w:ilvl w:val="3"/>
          <w:numId w:val="15"/>
        </w:numPr>
        <w:tabs>
          <w:tab w:val="clear" w:pos="900"/>
          <w:tab w:val="num" w:pos="426"/>
        </w:tabs>
        <w:spacing w:after="0" w:line="240" w:lineRule="auto"/>
        <w:ind w:left="426" w:hanging="284"/>
        <w:jc w:val="both"/>
        <w:rPr>
          <w:rFonts w:ascii="Tahoma" w:hAnsi="Tahoma" w:cs="Tahoma"/>
          <w:sz w:val="20"/>
          <w:szCs w:val="20"/>
        </w:rPr>
      </w:pPr>
      <w:r w:rsidRPr="00CD2781">
        <w:rPr>
          <w:rFonts w:ascii="Tahoma" w:hAnsi="Tahoma" w:cs="Tahoma"/>
          <w:sz w:val="20"/>
          <w:szCs w:val="20"/>
        </w:rPr>
        <w:t>El presente procedimiento está orientado a determinar si el Consorcio incurrió en responsabilidad administrativa por dar lugar a la resolución de Contrato de Adquisición de Bienes Nº 254-2009-SEDAPAL, derivado de la Licitación Pública N° 009-2008/SEDAPAL-B, para la “Adquisición de Tapas de Polietileno Reciclado para Alcantarillado con Seguro”, por causal atribuible a su parte; infracción tipificada en el literal b) del  numeral 51.1 del artículo 51 de la Ley de Contrataciones del Estado</w:t>
      </w:r>
      <w:r w:rsidRPr="00CD2781">
        <w:rPr>
          <w:rFonts w:ascii="Tahoma" w:hAnsi="Tahoma" w:cs="Tahoma"/>
          <w:sz w:val="20"/>
          <w:szCs w:val="20"/>
          <w:vertAlign w:val="superscript"/>
        </w:rPr>
        <w:footnoteReference w:id="2"/>
      </w:r>
      <w:r w:rsidRPr="00CD2781">
        <w:rPr>
          <w:rFonts w:ascii="Tahoma" w:hAnsi="Tahoma" w:cs="Tahoma"/>
          <w:sz w:val="20"/>
          <w:szCs w:val="20"/>
        </w:rPr>
        <w:t>, en adelante la Ley, así como en el numeral 1 literal b) del artículo 237 de su  Reglamento</w:t>
      </w:r>
      <w:r w:rsidRPr="00CD2781">
        <w:rPr>
          <w:rFonts w:ascii="Tahoma" w:hAnsi="Tahoma" w:cs="Tahoma"/>
          <w:sz w:val="20"/>
          <w:szCs w:val="20"/>
          <w:vertAlign w:val="superscript"/>
        </w:rPr>
        <w:footnoteReference w:id="3"/>
      </w:r>
      <w:r w:rsidRPr="00CD2781">
        <w:rPr>
          <w:rFonts w:ascii="Tahoma" w:hAnsi="Tahoma" w:cs="Tahoma"/>
          <w:sz w:val="20"/>
          <w:szCs w:val="20"/>
        </w:rPr>
        <w:t xml:space="preserve">, que establece como supuesto de hecho indispensable para su configuración, </w:t>
      </w:r>
      <w:r w:rsidRPr="00CD2781">
        <w:rPr>
          <w:rFonts w:ascii="Tahoma" w:hAnsi="Tahoma" w:cs="Tahoma"/>
          <w:b/>
          <w:bCs/>
          <w:sz w:val="20"/>
          <w:szCs w:val="20"/>
        </w:rPr>
        <w:t>la resolución del contrato, orden de compra o de servicios, según corresponda, por causal atribuible a el Contratista</w:t>
      </w:r>
      <w:r w:rsidRPr="00CD2781">
        <w:rPr>
          <w:rFonts w:ascii="Tahoma" w:hAnsi="Tahoma" w:cs="Tahoma"/>
          <w:sz w:val="20"/>
          <w:szCs w:val="20"/>
        </w:rPr>
        <w:t>.</w:t>
      </w:r>
    </w:p>
    <w:p w:rsidR="001A0A62" w:rsidRDefault="001A0A62" w:rsidP="00A266E4">
      <w:pPr>
        <w:ind w:left="540"/>
        <w:rPr>
          <w:rFonts w:ascii="Tahoma" w:hAnsi="Tahoma" w:cs="Tahoma"/>
          <w:b/>
          <w:bCs/>
          <w:i/>
          <w:iCs/>
          <w:sz w:val="20"/>
          <w:szCs w:val="20"/>
          <w:u w:val="single"/>
        </w:rPr>
      </w:pPr>
    </w:p>
    <w:p w:rsidR="00A266E4" w:rsidRPr="00CD2781" w:rsidRDefault="00A266E4" w:rsidP="00A266E4">
      <w:pPr>
        <w:ind w:left="540"/>
        <w:rPr>
          <w:rFonts w:ascii="Tahoma" w:hAnsi="Tahoma" w:cs="Tahoma"/>
          <w:b/>
          <w:bCs/>
          <w:i/>
          <w:iCs/>
          <w:sz w:val="20"/>
          <w:szCs w:val="20"/>
          <w:u w:val="single"/>
        </w:rPr>
      </w:pPr>
      <w:r w:rsidRPr="00CD2781">
        <w:rPr>
          <w:rFonts w:ascii="Tahoma" w:hAnsi="Tahoma" w:cs="Tahoma"/>
          <w:b/>
          <w:bCs/>
          <w:i/>
          <w:iCs/>
          <w:sz w:val="20"/>
          <w:szCs w:val="20"/>
          <w:u w:val="single"/>
        </w:rPr>
        <w:t>Respecto de la Resolución de Contrato</w:t>
      </w:r>
    </w:p>
    <w:p w:rsidR="00A266E4" w:rsidRDefault="00A266E4" w:rsidP="00A266E4">
      <w:pPr>
        <w:numPr>
          <w:ilvl w:val="0"/>
          <w:numId w:val="15"/>
        </w:numPr>
        <w:spacing w:after="0" w:line="240" w:lineRule="auto"/>
        <w:jc w:val="both"/>
        <w:rPr>
          <w:rFonts w:ascii="Tahoma" w:hAnsi="Tahoma" w:cs="Tahoma"/>
          <w:sz w:val="20"/>
          <w:szCs w:val="20"/>
        </w:rPr>
      </w:pPr>
      <w:r w:rsidRPr="00CD2781">
        <w:rPr>
          <w:rFonts w:ascii="Tahoma" w:hAnsi="Tahoma" w:cs="Tahoma"/>
          <w:sz w:val="20"/>
          <w:szCs w:val="20"/>
        </w:rPr>
        <w:t>De acuerdo con el inciso c) del artículo 40 de la Ley, en caso de incumplimiento por parte del contratista de alguna de sus obligaciones, que haya sido previamente observada por la Entidad, y no haya sido materia de subsanación, esta última podrá resolver el contrato en forma total o parcial, mediante la remisión por la vía notarial del documento en el que se manifieste esta decisión y el motivo que la justifica. Dicho documento será aprobado por autoridad del mismo o superior nivel jerárquico que aquella que haya suscrito el contrato.  El contrato queda resuelto de pleno derecho a partir de la recepción de dicha comunicación por el contratista.  El requerimiento previo por parte de la Entidad podrá omitirse en los casos que señale el Reglamento.  Igual derecho asiste al contratista ante el incumplimiento de la Entidad de sus obligaciones esenciales, siempre que el contratista la haya emplazado mediante carta notarial y ésta no haya subsanado el incumplimiento.</w:t>
      </w:r>
    </w:p>
    <w:p w:rsidR="00656746" w:rsidRDefault="00656746" w:rsidP="00656746">
      <w:pPr>
        <w:spacing w:after="0" w:line="240" w:lineRule="auto"/>
        <w:ind w:left="540"/>
        <w:jc w:val="both"/>
        <w:rPr>
          <w:rFonts w:ascii="Tahoma" w:hAnsi="Tahoma" w:cs="Tahoma"/>
          <w:sz w:val="20"/>
          <w:szCs w:val="20"/>
        </w:rPr>
      </w:pPr>
    </w:p>
    <w:p w:rsidR="00A266E4" w:rsidRPr="00656746" w:rsidRDefault="00A266E4" w:rsidP="00656746">
      <w:pPr>
        <w:numPr>
          <w:ilvl w:val="0"/>
          <w:numId w:val="15"/>
        </w:numPr>
        <w:spacing w:after="0" w:line="240" w:lineRule="auto"/>
        <w:jc w:val="both"/>
        <w:rPr>
          <w:rFonts w:ascii="Tahoma" w:hAnsi="Tahoma" w:cs="Tahoma"/>
          <w:sz w:val="20"/>
          <w:szCs w:val="20"/>
        </w:rPr>
      </w:pPr>
      <w:r w:rsidRPr="00656746">
        <w:rPr>
          <w:rFonts w:ascii="Tahoma" w:hAnsi="Tahoma" w:cs="Tahoma"/>
          <w:sz w:val="20"/>
          <w:szCs w:val="20"/>
        </w:rPr>
        <w:lastRenderedPageBreak/>
        <w:t>En línea con lo anterior, el artículo 168 del Reglamento dispone que la Entidad podrá resolver el contrato, de conformidad con el inciso c) del artículo 40 de la Ley, en los casos que el contratista:</w:t>
      </w:r>
    </w:p>
    <w:p w:rsidR="00A266E4" w:rsidRPr="00CD2781" w:rsidRDefault="00A266E4" w:rsidP="00A266E4">
      <w:pPr>
        <w:pStyle w:val="Prrafodelista"/>
        <w:rPr>
          <w:rFonts w:ascii="Tahoma" w:hAnsi="Tahoma" w:cs="Tahoma"/>
          <w:sz w:val="20"/>
        </w:rPr>
      </w:pPr>
    </w:p>
    <w:p w:rsidR="00A266E4" w:rsidRPr="00CD2781" w:rsidRDefault="00A266E4" w:rsidP="00A266E4">
      <w:pPr>
        <w:numPr>
          <w:ilvl w:val="0"/>
          <w:numId w:val="13"/>
        </w:numPr>
        <w:spacing w:after="0" w:line="240" w:lineRule="auto"/>
        <w:jc w:val="both"/>
        <w:rPr>
          <w:rFonts w:ascii="Tahoma" w:hAnsi="Tahoma" w:cs="Tahoma"/>
          <w:i/>
          <w:iCs/>
          <w:sz w:val="20"/>
          <w:szCs w:val="20"/>
        </w:rPr>
      </w:pPr>
      <w:r w:rsidRPr="00CD2781">
        <w:rPr>
          <w:rFonts w:ascii="Tahoma" w:hAnsi="Tahoma" w:cs="Tahoma"/>
          <w:i/>
          <w:iCs/>
          <w:sz w:val="20"/>
          <w:szCs w:val="20"/>
        </w:rPr>
        <w:t>Incumpla injustificadamente obligaciones contractuales, legales o reglamentarias a su cargo, a pesar de haber sido requerido para ello.</w:t>
      </w:r>
    </w:p>
    <w:p w:rsidR="00656746" w:rsidRDefault="00656746" w:rsidP="00656746">
      <w:pPr>
        <w:spacing w:after="0" w:line="240" w:lineRule="auto"/>
        <w:ind w:left="1440"/>
        <w:jc w:val="both"/>
        <w:rPr>
          <w:rFonts w:ascii="Tahoma" w:hAnsi="Tahoma" w:cs="Tahoma"/>
          <w:i/>
          <w:iCs/>
          <w:sz w:val="20"/>
          <w:szCs w:val="20"/>
        </w:rPr>
      </w:pPr>
    </w:p>
    <w:p w:rsidR="00A266E4" w:rsidRPr="00CD2781" w:rsidRDefault="00A266E4" w:rsidP="00A266E4">
      <w:pPr>
        <w:numPr>
          <w:ilvl w:val="0"/>
          <w:numId w:val="13"/>
        </w:numPr>
        <w:spacing w:after="0" w:line="240" w:lineRule="auto"/>
        <w:jc w:val="both"/>
        <w:rPr>
          <w:rFonts w:ascii="Tahoma" w:hAnsi="Tahoma" w:cs="Tahoma"/>
          <w:i/>
          <w:iCs/>
          <w:sz w:val="20"/>
          <w:szCs w:val="20"/>
        </w:rPr>
      </w:pPr>
      <w:r w:rsidRPr="00CD2781">
        <w:rPr>
          <w:rFonts w:ascii="Tahoma" w:hAnsi="Tahoma" w:cs="Tahoma"/>
          <w:i/>
          <w:iCs/>
          <w:sz w:val="20"/>
          <w:szCs w:val="20"/>
        </w:rPr>
        <w:t>Haya llegado a acumular el monto máximo de la penalidad por mora o el monto máximo para otras penalidades en la ejecución de la prestación a su cargo; o</w:t>
      </w:r>
    </w:p>
    <w:p w:rsidR="00656746" w:rsidRDefault="00656746" w:rsidP="00656746">
      <w:pPr>
        <w:spacing w:after="0" w:line="240" w:lineRule="auto"/>
        <w:ind w:left="1440"/>
        <w:jc w:val="both"/>
        <w:rPr>
          <w:rFonts w:ascii="Tahoma" w:hAnsi="Tahoma" w:cs="Tahoma"/>
          <w:i/>
          <w:iCs/>
          <w:sz w:val="20"/>
          <w:szCs w:val="20"/>
        </w:rPr>
      </w:pPr>
    </w:p>
    <w:p w:rsidR="00A266E4" w:rsidRPr="00CD2781" w:rsidRDefault="00A266E4" w:rsidP="00A266E4">
      <w:pPr>
        <w:numPr>
          <w:ilvl w:val="0"/>
          <w:numId w:val="13"/>
        </w:numPr>
        <w:spacing w:after="0" w:line="240" w:lineRule="auto"/>
        <w:jc w:val="both"/>
        <w:rPr>
          <w:rFonts w:ascii="Tahoma" w:hAnsi="Tahoma" w:cs="Tahoma"/>
          <w:i/>
          <w:iCs/>
          <w:sz w:val="20"/>
          <w:szCs w:val="20"/>
        </w:rPr>
      </w:pPr>
      <w:r w:rsidRPr="00CD2781">
        <w:rPr>
          <w:rFonts w:ascii="Tahoma" w:hAnsi="Tahoma" w:cs="Tahoma"/>
          <w:i/>
          <w:iCs/>
          <w:sz w:val="20"/>
          <w:szCs w:val="20"/>
        </w:rPr>
        <w:t>Paralice o reduzca injustificadamente la ejecución de la prestación, pesar a haber sido requerido para corregir tal situación.</w:t>
      </w:r>
    </w:p>
    <w:p w:rsidR="00656746" w:rsidRDefault="00656746" w:rsidP="00656746">
      <w:pPr>
        <w:spacing w:after="0" w:line="240" w:lineRule="auto"/>
        <w:ind w:left="540"/>
        <w:jc w:val="both"/>
        <w:rPr>
          <w:rFonts w:ascii="Tahoma" w:hAnsi="Tahoma" w:cs="Tahoma"/>
          <w:sz w:val="20"/>
          <w:szCs w:val="20"/>
        </w:rPr>
      </w:pPr>
    </w:p>
    <w:p w:rsidR="00A266E4" w:rsidRPr="00CD2781" w:rsidRDefault="00A266E4" w:rsidP="00A266E4">
      <w:pPr>
        <w:numPr>
          <w:ilvl w:val="0"/>
          <w:numId w:val="15"/>
        </w:numPr>
        <w:spacing w:after="0" w:line="240" w:lineRule="auto"/>
        <w:jc w:val="both"/>
        <w:rPr>
          <w:rFonts w:ascii="Tahoma" w:hAnsi="Tahoma" w:cs="Tahoma"/>
          <w:sz w:val="20"/>
          <w:szCs w:val="20"/>
        </w:rPr>
      </w:pPr>
      <w:r w:rsidRPr="00CD2781">
        <w:rPr>
          <w:rFonts w:ascii="Tahoma" w:hAnsi="Tahoma" w:cs="Tahoma"/>
          <w:sz w:val="20"/>
          <w:szCs w:val="20"/>
        </w:rPr>
        <w:t xml:space="preserve"> De conformidad con lo dispuesto en el artículo 169º del Reglamento, </w:t>
      </w:r>
      <w:r w:rsidRPr="00CD2781">
        <w:rPr>
          <w:rFonts w:ascii="Tahoma" w:hAnsi="Tahoma" w:cs="Tahoma"/>
          <w:b/>
          <w:bCs/>
          <w:sz w:val="20"/>
          <w:szCs w:val="20"/>
        </w:rPr>
        <w:t>si alguna de las partes falta al cumplimiento de sus obligaciones, la parte perjudicada deberá requerirla mediante carta notarial</w:t>
      </w:r>
      <w:r w:rsidRPr="00CD2781">
        <w:rPr>
          <w:rFonts w:ascii="Tahoma" w:hAnsi="Tahoma" w:cs="Tahoma"/>
          <w:sz w:val="20"/>
          <w:szCs w:val="20"/>
        </w:rPr>
        <w:t xml:space="preserve"> para que las satisfaga en un plazo </w:t>
      </w:r>
      <w:r w:rsidRPr="00CD2781">
        <w:rPr>
          <w:rFonts w:ascii="Tahoma" w:hAnsi="Tahoma" w:cs="Tahoma"/>
          <w:sz w:val="20"/>
          <w:szCs w:val="20"/>
          <w:u w:val="single"/>
        </w:rPr>
        <w:t>no mayor a cinco</w:t>
      </w:r>
      <w:r w:rsidRPr="00CD2781">
        <w:rPr>
          <w:rFonts w:ascii="Tahoma" w:hAnsi="Tahoma" w:cs="Tahoma"/>
          <w:sz w:val="20"/>
          <w:szCs w:val="20"/>
        </w:rPr>
        <w:t xml:space="preserve"> (5) días, bajo apercibimiento de resolver el contrato.  Dependiendo del monto contractual y la complejidad, envergadura o sofisticación de la contratación, la Entidad puede establecer plazos mayores, pero en ningún caso mayor a quince (15) días, plazo este último que se otorgará necesariamente en el caso de obras.  Si vencido dicho plazo el incumplimiento continúa, la parte perjudicada resolverá el contrato en forma total o parcial, comunicando mediante carta notarial la decisión de resolver el contrato.</w:t>
      </w:r>
    </w:p>
    <w:p w:rsidR="00656746" w:rsidRDefault="00656746" w:rsidP="00656746">
      <w:pPr>
        <w:spacing w:after="0" w:line="240" w:lineRule="auto"/>
        <w:ind w:left="540"/>
        <w:jc w:val="both"/>
        <w:rPr>
          <w:rFonts w:ascii="Tahoma" w:hAnsi="Tahoma" w:cs="Tahoma"/>
          <w:sz w:val="20"/>
          <w:szCs w:val="20"/>
        </w:rPr>
      </w:pPr>
    </w:p>
    <w:p w:rsidR="00A266E4" w:rsidRPr="00CD2781" w:rsidRDefault="00A266E4" w:rsidP="00A266E4">
      <w:pPr>
        <w:numPr>
          <w:ilvl w:val="0"/>
          <w:numId w:val="15"/>
        </w:numPr>
        <w:spacing w:after="0" w:line="240" w:lineRule="auto"/>
        <w:jc w:val="both"/>
        <w:rPr>
          <w:rFonts w:ascii="Tahoma" w:hAnsi="Tahoma" w:cs="Tahoma"/>
          <w:sz w:val="20"/>
          <w:szCs w:val="20"/>
        </w:rPr>
      </w:pPr>
      <w:r w:rsidRPr="00CD2781">
        <w:rPr>
          <w:rFonts w:ascii="Tahoma" w:hAnsi="Tahoma" w:cs="Tahoma"/>
          <w:sz w:val="20"/>
          <w:szCs w:val="20"/>
        </w:rPr>
        <w:t>De la lectura de las disposiciones glosadas y conforme a los criterios utilizados por el Tribunal en anteriores oportunidades, para que la infracción imputada se configure, es menester que la Entidad, efectivamente, haya resuelto el contrato conforme al procedimiento descrito. De esta manera, aún en los casos en los que se haya generado el incumplimiento contractual, sin el Tribunal lograr verificar que la Entidad no ha resuelto el contrato en observancia de las normas citadas, la conducto no será pasible de sanción. Este criterio, además, ha sido recogido en el Acuerdo de Sala Plena Nº 018/010 del 04 de septiembre de 2002.</w:t>
      </w:r>
      <w:r w:rsidRPr="00CD2781">
        <w:rPr>
          <w:rFonts w:ascii="Tahoma" w:hAnsi="Tahoma" w:cs="Tahoma"/>
          <w:sz w:val="20"/>
          <w:szCs w:val="20"/>
          <w:vertAlign w:val="superscript"/>
        </w:rPr>
        <w:footnoteReference w:id="4"/>
      </w:r>
    </w:p>
    <w:p w:rsidR="00656746" w:rsidRDefault="00656746" w:rsidP="00656746">
      <w:pPr>
        <w:spacing w:after="0" w:line="240" w:lineRule="auto"/>
        <w:ind w:left="540"/>
        <w:jc w:val="both"/>
        <w:rPr>
          <w:rFonts w:ascii="Tahoma" w:hAnsi="Tahoma" w:cs="Tahoma"/>
          <w:sz w:val="20"/>
          <w:szCs w:val="20"/>
        </w:rPr>
      </w:pPr>
    </w:p>
    <w:p w:rsidR="00A266E4" w:rsidRPr="00CD2781" w:rsidRDefault="00A266E4" w:rsidP="00A266E4">
      <w:pPr>
        <w:numPr>
          <w:ilvl w:val="0"/>
          <w:numId w:val="15"/>
        </w:numPr>
        <w:spacing w:after="0" w:line="240" w:lineRule="auto"/>
        <w:jc w:val="both"/>
        <w:rPr>
          <w:rFonts w:ascii="Tahoma" w:hAnsi="Tahoma" w:cs="Tahoma"/>
          <w:sz w:val="20"/>
          <w:szCs w:val="20"/>
        </w:rPr>
      </w:pPr>
      <w:r w:rsidRPr="00CD2781">
        <w:rPr>
          <w:rFonts w:ascii="Tahoma" w:hAnsi="Tahoma" w:cs="Tahoma"/>
          <w:sz w:val="20"/>
          <w:szCs w:val="20"/>
        </w:rPr>
        <w:t>En ese orden de ideas, corresponde determinar de manera previa si la Entidad ha seguido el debido procedimiento para la resolución de contrato, conforme a lo previsto en el artículo 168º y 169º del Reglamento.</w:t>
      </w:r>
    </w:p>
    <w:p w:rsidR="00656746" w:rsidRDefault="00656746" w:rsidP="00656746">
      <w:pPr>
        <w:spacing w:after="0" w:line="240" w:lineRule="auto"/>
        <w:ind w:left="540"/>
        <w:jc w:val="both"/>
        <w:rPr>
          <w:rFonts w:ascii="Tahoma" w:hAnsi="Tahoma" w:cs="Tahoma"/>
          <w:sz w:val="20"/>
          <w:szCs w:val="20"/>
        </w:rPr>
      </w:pPr>
    </w:p>
    <w:p w:rsidR="00A266E4" w:rsidRPr="00CD2781" w:rsidRDefault="00A266E4" w:rsidP="00A266E4">
      <w:pPr>
        <w:numPr>
          <w:ilvl w:val="0"/>
          <w:numId w:val="15"/>
        </w:numPr>
        <w:spacing w:after="0" w:line="240" w:lineRule="auto"/>
        <w:jc w:val="both"/>
        <w:rPr>
          <w:rFonts w:ascii="Tahoma" w:hAnsi="Tahoma" w:cs="Tahoma"/>
          <w:sz w:val="20"/>
          <w:szCs w:val="20"/>
        </w:rPr>
      </w:pPr>
      <w:r w:rsidRPr="00CD2781">
        <w:rPr>
          <w:rFonts w:ascii="Tahoma" w:hAnsi="Tahoma" w:cs="Tahoma"/>
          <w:sz w:val="20"/>
          <w:szCs w:val="20"/>
        </w:rPr>
        <w:t>Sobre el particular, de la documentación obrante en autos, se observa que la Entidad remitió al Contratista, vía conducto notarial, tres (03) comunicaciones:</w:t>
      </w:r>
    </w:p>
    <w:p w:rsidR="00A266E4" w:rsidRPr="00CD2781" w:rsidRDefault="00A266E4" w:rsidP="00A266E4">
      <w:pPr>
        <w:ind w:left="720"/>
        <w:rPr>
          <w:rFonts w:ascii="Tahoma" w:hAnsi="Tahoma" w:cs="Tahoma"/>
          <w:sz w:val="20"/>
          <w:szCs w:val="20"/>
        </w:rPr>
      </w:pPr>
    </w:p>
    <w:p w:rsidR="00656746" w:rsidRDefault="00A266E4" w:rsidP="00656746">
      <w:pPr>
        <w:numPr>
          <w:ilvl w:val="0"/>
          <w:numId w:val="14"/>
        </w:numPr>
        <w:spacing w:after="0" w:line="240" w:lineRule="auto"/>
        <w:jc w:val="both"/>
        <w:rPr>
          <w:rFonts w:ascii="Tahoma" w:hAnsi="Tahoma" w:cs="Tahoma"/>
          <w:b/>
          <w:bCs/>
          <w:sz w:val="20"/>
          <w:szCs w:val="20"/>
        </w:rPr>
      </w:pPr>
      <w:r w:rsidRPr="00CD2781">
        <w:rPr>
          <w:rFonts w:ascii="Tahoma" w:hAnsi="Tahoma" w:cs="Tahoma"/>
          <w:sz w:val="20"/>
          <w:szCs w:val="20"/>
        </w:rPr>
        <w:t>Carta Nº 18-ERPrim de fecha  01 de febrero de 2010, y notificada</w:t>
      </w:r>
      <w:r w:rsidRPr="00CD2781">
        <w:rPr>
          <w:rFonts w:ascii="Tahoma" w:hAnsi="Tahoma" w:cs="Tahoma"/>
          <w:b/>
          <w:bCs/>
          <w:sz w:val="20"/>
          <w:szCs w:val="20"/>
        </w:rPr>
        <w:t xml:space="preserve"> </w:t>
      </w:r>
      <w:r w:rsidRPr="00CD2781">
        <w:rPr>
          <w:rFonts w:ascii="Tahoma" w:hAnsi="Tahoma" w:cs="Tahoma"/>
          <w:sz w:val="20"/>
          <w:szCs w:val="20"/>
        </w:rPr>
        <w:t xml:space="preserve">por conducto notarial el 04 del mismo mes y año: La Entidad le indicó al Contratista que de conformidad al Contrato de adquisición de bienes Nº </w:t>
      </w:r>
      <w:r w:rsidRPr="00CD2781">
        <w:rPr>
          <w:rFonts w:ascii="Tahoma" w:hAnsi="Tahoma" w:cs="Tahoma"/>
          <w:sz w:val="20"/>
          <w:szCs w:val="20"/>
        </w:rPr>
        <w:lastRenderedPageBreak/>
        <w:t>254-2009-SEDAPAL y del Acta de Conciliación Nº 2210-09-ASIS, se le otorgaba el plazo de diez (10) días calendarios a fin que disponga los bienes objeto de la convocatoria a satisfacción de la Entidad.</w:t>
      </w:r>
    </w:p>
    <w:p w:rsidR="00656746" w:rsidRDefault="00656746" w:rsidP="00656746">
      <w:pPr>
        <w:spacing w:after="0" w:line="240" w:lineRule="auto"/>
        <w:ind w:left="1440"/>
        <w:jc w:val="both"/>
        <w:rPr>
          <w:rFonts w:ascii="Tahoma" w:hAnsi="Tahoma" w:cs="Tahoma"/>
          <w:b/>
          <w:bCs/>
          <w:sz w:val="20"/>
          <w:szCs w:val="20"/>
        </w:rPr>
      </w:pPr>
    </w:p>
    <w:p w:rsidR="00A266E4" w:rsidRDefault="00A266E4" w:rsidP="00656746">
      <w:pPr>
        <w:spacing w:after="0" w:line="240" w:lineRule="auto"/>
        <w:ind w:left="1440"/>
        <w:jc w:val="both"/>
        <w:rPr>
          <w:rFonts w:ascii="Tahoma" w:hAnsi="Tahoma" w:cs="Tahoma"/>
          <w:sz w:val="20"/>
          <w:szCs w:val="20"/>
        </w:rPr>
      </w:pPr>
      <w:r w:rsidRPr="00656746">
        <w:rPr>
          <w:rFonts w:ascii="Tahoma" w:hAnsi="Tahoma" w:cs="Tahoma"/>
          <w:sz w:val="20"/>
          <w:szCs w:val="20"/>
        </w:rPr>
        <w:t>Dicho requerimiento se basó en el Informe Nº 013-10, emitido por el Laboratorio de Estructuras Sísmicas de la Pontifica Universidad Católica, en el que se concluyó que los bienes no cumplían con la carga máxima de rotura, la cual fluctúa entre 6.56 TN (58.6 KN) y 10.36TN (92.5 KN), estando por debajo de la carga máxima de rotura de 20 TN y de la carga puntual que debe soportar 12 TN (117.68 KN).</w:t>
      </w:r>
    </w:p>
    <w:p w:rsidR="00656746" w:rsidRPr="00656746" w:rsidRDefault="00656746" w:rsidP="00656746">
      <w:pPr>
        <w:spacing w:after="0" w:line="240" w:lineRule="auto"/>
        <w:jc w:val="both"/>
        <w:rPr>
          <w:rFonts w:ascii="Tahoma" w:hAnsi="Tahoma" w:cs="Tahoma"/>
          <w:b/>
          <w:bCs/>
          <w:sz w:val="20"/>
          <w:szCs w:val="20"/>
        </w:rPr>
      </w:pPr>
    </w:p>
    <w:p w:rsidR="00656746" w:rsidRDefault="00A266E4" w:rsidP="00656746">
      <w:pPr>
        <w:numPr>
          <w:ilvl w:val="0"/>
          <w:numId w:val="14"/>
        </w:numPr>
        <w:spacing w:after="0" w:line="240" w:lineRule="auto"/>
        <w:jc w:val="both"/>
        <w:rPr>
          <w:rFonts w:ascii="Tahoma" w:hAnsi="Tahoma" w:cs="Tahoma"/>
          <w:b/>
          <w:bCs/>
          <w:sz w:val="20"/>
          <w:szCs w:val="20"/>
        </w:rPr>
      </w:pPr>
      <w:r w:rsidRPr="00CD2781">
        <w:rPr>
          <w:rFonts w:ascii="Tahoma" w:hAnsi="Tahoma" w:cs="Tahoma"/>
          <w:sz w:val="20"/>
          <w:szCs w:val="20"/>
        </w:rPr>
        <w:t>Carta Nº 518-2010-GG, notificada por conducto notarial el 31 de marzo de 2010, la Entidad le otorgó al contratista el plazo de cinco (05 ) días calendarios a efectos de subsanar las deficiencias y se cumplan con las características y condiciones ofrecidas.</w:t>
      </w:r>
    </w:p>
    <w:p w:rsidR="00656746" w:rsidRDefault="00656746" w:rsidP="00656746">
      <w:pPr>
        <w:spacing w:after="0" w:line="240" w:lineRule="auto"/>
        <w:ind w:left="1440"/>
        <w:jc w:val="both"/>
        <w:rPr>
          <w:rFonts w:ascii="Tahoma" w:hAnsi="Tahoma" w:cs="Tahoma"/>
          <w:b/>
          <w:bCs/>
          <w:sz w:val="20"/>
          <w:szCs w:val="20"/>
        </w:rPr>
      </w:pPr>
    </w:p>
    <w:p w:rsidR="00A266E4" w:rsidRPr="00656746" w:rsidRDefault="00A266E4" w:rsidP="00656746">
      <w:pPr>
        <w:spacing w:after="0" w:line="240" w:lineRule="auto"/>
        <w:ind w:left="1440"/>
        <w:jc w:val="both"/>
        <w:rPr>
          <w:rFonts w:ascii="Tahoma" w:hAnsi="Tahoma" w:cs="Tahoma"/>
          <w:b/>
          <w:bCs/>
          <w:sz w:val="20"/>
          <w:szCs w:val="20"/>
        </w:rPr>
      </w:pPr>
      <w:r w:rsidRPr="00656746">
        <w:rPr>
          <w:rFonts w:ascii="Tahoma" w:hAnsi="Tahoma" w:cs="Tahoma"/>
          <w:sz w:val="20"/>
          <w:szCs w:val="20"/>
        </w:rPr>
        <w:t>Dicho requerimiento se basó en el Informe Nº 066-10, emitido por el Laboratorio de Estructuras Sísmicas de la Pontifica Universidad Católica, en el que se concluyó que los bienes no cumplían con las características técnicas.</w:t>
      </w:r>
    </w:p>
    <w:p w:rsidR="00A266E4" w:rsidRPr="00CD2781" w:rsidRDefault="00A266E4" w:rsidP="00656746">
      <w:pPr>
        <w:numPr>
          <w:ilvl w:val="0"/>
          <w:numId w:val="14"/>
        </w:numPr>
        <w:spacing w:after="0" w:line="240" w:lineRule="auto"/>
        <w:jc w:val="both"/>
        <w:rPr>
          <w:rFonts w:ascii="Tahoma" w:hAnsi="Tahoma" w:cs="Tahoma"/>
          <w:sz w:val="20"/>
          <w:szCs w:val="20"/>
        </w:rPr>
      </w:pPr>
      <w:r w:rsidRPr="00CD2781">
        <w:rPr>
          <w:rFonts w:ascii="Tahoma" w:hAnsi="Tahoma" w:cs="Tahoma"/>
          <w:sz w:val="20"/>
          <w:szCs w:val="20"/>
        </w:rPr>
        <w:t xml:space="preserve">Habiéndose vencido el plazo sin que el Consorcio contratista entregue los bienes objeto de la convocatoria a satisfacción de la Entidad, con Carta Notarial Nº 007-2010-GLS  de fecha 05 de junio de 2010, se notificó al Contratista la Resolución de Gerencia General Nº 437-2010-GS con la se dispuso resolver el vínculo contractual. </w:t>
      </w:r>
    </w:p>
    <w:p w:rsidR="00A266E4" w:rsidRPr="00CD2781" w:rsidRDefault="00A266E4" w:rsidP="00656746">
      <w:pPr>
        <w:spacing w:line="240" w:lineRule="auto"/>
        <w:ind w:left="1080"/>
        <w:jc w:val="both"/>
        <w:rPr>
          <w:rFonts w:ascii="Tahoma" w:hAnsi="Tahoma" w:cs="Tahoma"/>
          <w:b/>
          <w:bCs/>
          <w:sz w:val="20"/>
          <w:szCs w:val="20"/>
        </w:rPr>
      </w:pPr>
      <w:r w:rsidRPr="00CD2781">
        <w:rPr>
          <w:rFonts w:ascii="Tahoma" w:hAnsi="Tahoma" w:cs="Tahoma"/>
          <w:b/>
          <w:bCs/>
          <w:sz w:val="20"/>
          <w:szCs w:val="20"/>
        </w:rPr>
        <w:t xml:space="preserve">   </w:t>
      </w:r>
    </w:p>
    <w:p w:rsidR="00A266E4" w:rsidRDefault="00A266E4" w:rsidP="00E70F61">
      <w:pPr>
        <w:numPr>
          <w:ilvl w:val="0"/>
          <w:numId w:val="15"/>
        </w:numPr>
        <w:tabs>
          <w:tab w:val="num" w:pos="720"/>
        </w:tabs>
        <w:spacing w:after="0" w:line="240" w:lineRule="auto"/>
        <w:ind w:left="567" w:hanging="311"/>
        <w:jc w:val="both"/>
        <w:rPr>
          <w:rFonts w:ascii="Tahoma" w:hAnsi="Tahoma" w:cs="Tahoma"/>
          <w:sz w:val="20"/>
          <w:szCs w:val="20"/>
        </w:rPr>
      </w:pPr>
      <w:r w:rsidRPr="00CD2781">
        <w:rPr>
          <w:rFonts w:ascii="Tahoma" w:hAnsi="Tahoma" w:cs="Tahoma"/>
          <w:sz w:val="20"/>
          <w:szCs w:val="20"/>
        </w:rPr>
        <w:t>En tal sentido, se verifica que la Entidad ha observado la formalidad establecida en el artículo 168º y 169º del Reglamento, requisito indispensable de verificación del cumplimiento del debido procedimiento de resolución de contrato, a fin que la acción del Contratista al haber incumplido sus obligaciones contractuales - que dieron lugar a la resolución de contrato por causa atribuible a su parte - sea típica.</w:t>
      </w:r>
    </w:p>
    <w:p w:rsidR="00E70F61" w:rsidRDefault="00E70F61" w:rsidP="00E70F61">
      <w:pPr>
        <w:tabs>
          <w:tab w:val="num" w:pos="720"/>
        </w:tabs>
        <w:spacing w:after="0" w:line="240" w:lineRule="auto"/>
        <w:ind w:left="567"/>
        <w:jc w:val="both"/>
        <w:rPr>
          <w:rFonts w:ascii="Tahoma" w:hAnsi="Tahoma" w:cs="Tahoma"/>
          <w:sz w:val="20"/>
          <w:szCs w:val="20"/>
        </w:rPr>
      </w:pPr>
    </w:p>
    <w:p w:rsidR="00A266E4" w:rsidRPr="00E70F61" w:rsidRDefault="00A266E4" w:rsidP="00E70F61">
      <w:pPr>
        <w:numPr>
          <w:ilvl w:val="0"/>
          <w:numId w:val="15"/>
        </w:numPr>
        <w:tabs>
          <w:tab w:val="num" w:pos="720"/>
        </w:tabs>
        <w:spacing w:after="0" w:line="240" w:lineRule="auto"/>
        <w:ind w:left="567" w:hanging="311"/>
        <w:jc w:val="both"/>
        <w:rPr>
          <w:rFonts w:ascii="Tahoma" w:hAnsi="Tahoma" w:cs="Tahoma"/>
          <w:sz w:val="20"/>
          <w:szCs w:val="20"/>
        </w:rPr>
      </w:pPr>
      <w:r w:rsidRPr="00E70F61">
        <w:rPr>
          <w:rFonts w:ascii="Tahoma" w:hAnsi="Tahoma" w:cs="Tahoma"/>
          <w:sz w:val="20"/>
          <w:szCs w:val="20"/>
        </w:rPr>
        <w:t xml:space="preserve">Llegados a este punto, resulta pertinente traer a colación el cuestionamiento efectuado por el Contratista en su escrito de descargo, referido a que la </w:t>
      </w:r>
      <w:r w:rsidRPr="00E70F61">
        <w:rPr>
          <w:rFonts w:ascii="Tahoma" w:hAnsi="Tahoma" w:cs="Tahoma"/>
          <w:sz w:val="20"/>
          <w:szCs w:val="20"/>
          <w:lang w:val="es-PE"/>
        </w:rPr>
        <w:t>extinción del vínculo contractual realizada por Resolución Nº 437-2010-GG de fecha 31 de mayo de 2010, comunicada a través Carta Nº 007-2010-GLS; nunca fue recibida, pues si bien es cierto, la certificación notarial indica que en dicha diligencia intervino la Sra Esmeralda Rossana Castrillon, no obra su firma de conformidad en el documento en cuestión.</w:t>
      </w:r>
    </w:p>
    <w:p w:rsidR="00E70F61" w:rsidRDefault="00E70F61" w:rsidP="00E70F61">
      <w:pPr>
        <w:pStyle w:val="Prrafodelista"/>
        <w:rPr>
          <w:rFonts w:ascii="Tahoma" w:hAnsi="Tahoma" w:cs="Tahoma"/>
          <w:sz w:val="20"/>
        </w:rPr>
      </w:pPr>
    </w:p>
    <w:p w:rsidR="00A266E4" w:rsidRDefault="00A266E4" w:rsidP="00E70F61">
      <w:pPr>
        <w:numPr>
          <w:ilvl w:val="0"/>
          <w:numId w:val="15"/>
        </w:numPr>
        <w:tabs>
          <w:tab w:val="num" w:pos="720"/>
        </w:tabs>
        <w:spacing w:after="0" w:line="240" w:lineRule="auto"/>
        <w:ind w:left="567" w:hanging="425"/>
        <w:jc w:val="both"/>
        <w:rPr>
          <w:rFonts w:ascii="Tahoma" w:hAnsi="Tahoma" w:cs="Tahoma"/>
          <w:sz w:val="20"/>
          <w:szCs w:val="20"/>
        </w:rPr>
      </w:pPr>
      <w:r w:rsidRPr="00E70F61">
        <w:rPr>
          <w:rFonts w:ascii="Tahoma" w:hAnsi="Tahoma" w:cs="Tahoma"/>
          <w:sz w:val="20"/>
          <w:szCs w:val="20"/>
        </w:rPr>
        <w:t>En esa medida, corresponde a este Colegiado verificar si la Carta Nº 007-2010-GLS que notificó la resolución del contrato se realizó de acuerdo a lo establecido en la normativa que rige las contrataciones públicas y a lo dispuesto por la normativa que regula la ley especial, Ley del Notariado- Decreto Legislativo Nº 1049.</w:t>
      </w:r>
    </w:p>
    <w:p w:rsidR="00E70F61" w:rsidRDefault="00E70F61" w:rsidP="00E70F61">
      <w:pPr>
        <w:pStyle w:val="Prrafodelista"/>
        <w:rPr>
          <w:rFonts w:ascii="Tahoma" w:hAnsi="Tahoma" w:cs="Tahoma"/>
          <w:sz w:val="20"/>
        </w:rPr>
      </w:pPr>
    </w:p>
    <w:p w:rsidR="00A266E4" w:rsidRDefault="00A266E4" w:rsidP="00E70F61">
      <w:pPr>
        <w:numPr>
          <w:ilvl w:val="0"/>
          <w:numId w:val="15"/>
        </w:numPr>
        <w:tabs>
          <w:tab w:val="num" w:pos="720"/>
        </w:tabs>
        <w:spacing w:after="0" w:line="240" w:lineRule="auto"/>
        <w:ind w:left="567" w:hanging="425"/>
        <w:jc w:val="both"/>
        <w:rPr>
          <w:rFonts w:ascii="Tahoma" w:hAnsi="Tahoma" w:cs="Tahoma"/>
          <w:sz w:val="20"/>
          <w:szCs w:val="20"/>
        </w:rPr>
      </w:pPr>
      <w:r w:rsidRPr="00E70F61">
        <w:rPr>
          <w:rFonts w:ascii="Tahoma" w:hAnsi="Tahoma" w:cs="Tahoma"/>
          <w:sz w:val="20"/>
          <w:szCs w:val="20"/>
        </w:rPr>
        <w:t xml:space="preserve">Con relación a ello, fluye de la documentación obrante en autos, que al reverso de la certificación notarial de la Carta Notarial antes citada, efectuada por el Notario Público encargado de su diligenciamiento, sito en: ” Jr. Arturo  García Salazar 342 – Surco – Lima”, dejo constancia que ésta habría sido dejada bajo puerta de conformidad a lo dispuesto en el artículo 100 del Decreto Legislativo Nº 1049. Debido a que al </w:t>
      </w:r>
      <w:r w:rsidRPr="00E70F61">
        <w:rPr>
          <w:rFonts w:ascii="Tahoma" w:hAnsi="Tahoma" w:cs="Tahoma"/>
          <w:sz w:val="20"/>
          <w:szCs w:val="20"/>
        </w:rPr>
        <w:lastRenderedPageBreak/>
        <w:t>momento de realizar la diligencia ninguna persona acudió al llamado de la puerta, intervieniendo en la diligencia la Sra. Esmeralda Rossana Castrillon, identificada con DNI Nº 25499395, quién en virtud de ello, suscribe el cargo”.</w:t>
      </w:r>
    </w:p>
    <w:p w:rsidR="00E70F61" w:rsidRDefault="00E70F61" w:rsidP="00E70F61">
      <w:pPr>
        <w:pStyle w:val="Prrafodelista"/>
        <w:rPr>
          <w:rFonts w:ascii="Tahoma" w:hAnsi="Tahoma" w:cs="Tahoma"/>
          <w:sz w:val="20"/>
        </w:rPr>
      </w:pPr>
    </w:p>
    <w:p w:rsidR="00A266E4" w:rsidRDefault="00A266E4" w:rsidP="00E70F61">
      <w:pPr>
        <w:numPr>
          <w:ilvl w:val="0"/>
          <w:numId w:val="15"/>
        </w:numPr>
        <w:tabs>
          <w:tab w:val="num" w:pos="720"/>
        </w:tabs>
        <w:spacing w:after="0" w:line="240" w:lineRule="auto"/>
        <w:ind w:left="567" w:hanging="425"/>
        <w:jc w:val="both"/>
        <w:rPr>
          <w:rFonts w:ascii="Tahoma" w:hAnsi="Tahoma" w:cs="Tahoma"/>
          <w:sz w:val="20"/>
          <w:szCs w:val="20"/>
        </w:rPr>
      </w:pPr>
      <w:r w:rsidRPr="00E70F61">
        <w:rPr>
          <w:rFonts w:ascii="Tahoma" w:hAnsi="Tahoma" w:cs="Tahoma"/>
          <w:sz w:val="20"/>
          <w:szCs w:val="20"/>
        </w:rPr>
        <w:t xml:space="preserve">Así las cosas, cabe precisar que, de acuerdo al artículo 2 del decreto Legislativo Nº 1049, Ley del Notariado, el Notario es el profesional del derecho que está autorizado para dar fe de los actos y contratos que ante él se celebren. Para ello formaliza la voluntad de los otorgantes, redactando los instrumentos a lo que confiere autenticidad, conserva los originales y expide los traslados correspondientes. </w:t>
      </w:r>
      <w:r w:rsidRPr="00E70F61">
        <w:rPr>
          <w:rFonts w:ascii="Tahoma" w:hAnsi="Tahoma" w:cs="Tahoma"/>
          <w:sz w:val="20"/>
          <w:szCs w:val="20"/>
          <w:u w:val="single"/>
        </w:rPr>
        <w:t>Su función también corresponde la comprobación de hechos</w:t>
      </w:r>
      <w:r w:rsidRPr="00E70F61">
        <w:rPr>
          <w:rFonts w:ascii="Tahoma" w:hAnsi="Tahoma" w:cs="Tahoma"/>
          <w:sz w:val="20"/>
          <w:szCs w:val="20"/>
        </w:rPr>
        <w:t xml:space="preserve"> y la tramitación de asuntos no contenciosos previstos en la materia.</w:t>
      </w:r>
    </w:p>
    <w:p w:rsidR="00E70F61" w:rsidRDefault="00E70F61" w:rsidP="00E70F61">
      <w:pPr>
        <w:pStyle w:val="Prrafodelista"/>
        <w:rPr>
          <w:rFonts w:ascii="Tahoma" w:hAnsi="Tahoma" w:cs="Tahoma"/>
          <w:sz w:val="20"/>
        </w:rPr>
      </w:pPr>
    </w:p>
    <w:p w:rsidR="00A266E4" w:rsidRDefault="00A266E4" w:rsidP="00E70F61">
      <w:pPr>
        <w:numPr>
          <w:ilvl w:val="0"/>
          <w:numId w:val="15"/>
        </w:numPr>
        <w:tabs>
          <w:tab w:val="num" w:pos="720"/>
        </w:tabs>
        <w:spacing w:after="0" w:line="240" w:lineRule="auto"/>
        <w:ind w:left="567" w:hanging="425"/>
        <w:jc w:val="both"/>
        <w:rPr>
          <w:rFonts w:ascii="Tahoma" w:hAnsi="Tahoma" w:cs="Tahoma"/>
          <w:sz w:val="20"/>
          <w:szCs w:val="20"/>
        </w:rPr>
      </w:pPr>
      <w:r w:rsidRPr="00E70F61">
        <w:rPr>
          <w:rFonts w:ascii="Tahoma" w:hAnsi="Tahoma" w:cs="Tahoma"/>
          <w:sz w:val="20"/>
          <w:szCs w:val="20"/>
        </w:rPr>
        <w:t xml:space="preserve">Además, es menester anotar, que de acuerdo con los artículo 24, 26, 95 y 100 del citado cuerpo normativo, la </w:t>
      </w:r>
      <w:r w:rsidRPr="00E70F61">
        <w:rPr>
          <w:rFonts w:ascii="Tahoma" w:hAnsi="Tahoma" w:cs="Tahoma"/>
          <w:b/>
          <w:bCs/>
          <w:sz w:val="20"/>
          <w:szCs w:val="20"/>
        </w:rPr>
        <w:t>entrega de cartas notariales</w:t>
      </w:r>
      <w:r w:rsidRPr="00E70F61">
        <w:rPr>
          <w:rFonts w:ascii="Tahoma" w:hAnsi="Tahoma" w:cs="Tahoma"/>
          <w:sz w:val="20"/>
          <w:szCs w:val="20"/>
        </w:rPr>
        <w:t xml:space="preserve"> por parte de los Notarios, constituye </w:t>
      </w:r>
      <w:r w:rsidRPr="00E70F61">
        <w:rPr>
          <w:rFonts w:ascii="Tahoma" w:hAnsi="Tahoma" w:cs="Tahoma"/>
          <w:b/>
          <w:bCs/>
          <w:sz w:val="20"/>
          <w:szCs w:val="20"/>
        </w:rPr>
        <w:t>una de las clases de certificaciones</w:t>
      </w:r>
      <w:r w:rsidRPr="00E70F61">
        <w:rPr>
          <w:rFonts w:ascii="Tahoma" w:hAnsi="Tahoma" w:cs="Tahoma"/>
          <w:sz w:val="20"/>
          <w:szCs w:val="20"/>
        </w:rPr>
        <w:t xml:space="preserve">, que a su vez, hacen parte de lo que se conocer como los instrumentos públicos extra protocolares, y es una las certificaciones mediante las cuales los Notarios dan </w:t>
      </w:r>
      <w:r w:rsidRPr="00E70F61">
        <w:rPr>
          <w:rFonts w:ascii="Tahoma" w:hAnsi="Tahoma" w:cs="Tahoma"/>
          <w:b/>
          <w:bCs/>
          <w:sz w:val="20"/>
          <w:szCs w:val="20"/>
        </w:rPr>
        <w:t>fe pública</w:t>
      </w:r>
      <w:r w:rsidRPr="00E70F61">
        <w:rPr>
          <w:rFonts w:ascii="Tahoma" w:hAnsi="Tahoma" w:cs="Tahoma"/>
          <w:sz w:val="20"/>
          <w:szCs w:val="20"/>
        </w:rPr>
        <w:t xml:space="preserve"> respecto de los actos, hechos o circunstancias que presencian o que les consta por razón de su función. Cabe señalar sobre el particular, que al hacer esto, los Notarios legitiman y autentican los actos en los que intervienen, revistiéndolos de fe pública, la misma que les ha sido depositada por el Estado y que se manifiesta o materializa cuando éstos dejan constancia de un hecho, suceso, situación, acto o contrato jurídico. De esta manera. En virtud de esta fe pública, se presumen ciertas las manifestaciones de los Notarios que consten en los instrumentos y demás documentos autorizados por ellos.</w:t>
      </w:r>
    </w:p>
    <w:p w:rsidR="00E70F61" w:rsidRDefault="00E70F61" w:rsidP="00E70F61">
      <w:pPr>
        <w:pStyle w:val="Prrafodelista"/>
        <w:rPr>
          <w:rFonts w:ascii="Tahoma" w:hAnsi="Tahoma" w:cs="Tahoma"/>
          <w:sz w:val="20"/>
        </w:rPr>
      </w:pPr>
    </w:p>
    <w:p w:rsidR="00A266E4" w:rsidRDefault="00A266E4" w:rsidP="00E70F61">
      <w:pPr>
        <w:numPr>
          <w:ilvl w:val="0"/>
          <w:numId w:val="15"/>
        </w:numPr>
        <w:tabs>
          <w:tab w:val="num" w:pos="720"/>
        </w:tabs>
        <w:spacing w:after="0" w:line="240" w:lineRule="auto"/>
        <w:ind w:left="567" w:hanging="425"/>
        <w:jc w:val="both"/>
        <w:rPr>
          <w:rFonts w:ascii="Tahoma" w:hAnsi="Tahoma" w:cs="Tahoma"/>
          <w:sz w:val="20"/>
          <w:szCs w:val="20"/>
        </w:rPr>
      </w:pPr>
      <w:r w:rsidRPr="00E70F61">
        <w:rPr>
          <w:rFonts w:ascii="Tahoma" w:hAnsi="Tahoma" w:cs="Tahoma"/>
          <w:sz w:val="20"/>
          <w:szCs w:val="20"/>
        </w:rPr>
        <w:t xml:space="preserve">En adición a lo anterior, resulta esencial señalar que la Fe Pública supone además, </w:t>
      </w:r>
      <w:r w:rsidRPr="00E70F61">
        <w:rPr>
          <w:rFonts w:ascii="Tahoma" w:hAnsi="Tahoma" w:cs="Tahoma"/>
          <w:sz w:val="20"/>
          <w:szCs w:val="20"/>
          <w:u w:val="single"/>
        </w:rPr>
        <w:t>exactitud de que lo narrado por el Notario resulta fiel al hecho por él presenciado; y también supone integridad, es decir, que lo narrado bajo fé pública se ubica en un tiempo y en un lugar determinado, y se preserva en el tiempo sin alteración en su contenido</w:t>
      </w:r>
      <w:r w:rsidRPr="00E70F61">
        <w:rPr>
          <w:rFonts w:ascii="Tahoma" w:hAnsi="Tahoma" w:cs="Tahoma"/>
          <w:sz w:val="20"/>
          <w:szCs w:val="20"/>
        </w:rPr>
        <w:t xml:space="preserve">. Por lo tanto, la eficacia de la Fé Pública es erga omnes, y por ese motivo, es oponible a terceros no relacionados con el instrumento en que se hubiese vertido dicha Fe, ya que las manifestaciones que en él obran, </w:t>
      </w:r>
      <w:r w:rsidRPr="00E70F61">
        <w:rPr>
          <w:rFonts w:ascii="Tahoma" w:hAnsi="Tahoma" w:cs="Tahoma"/>
          <w:b/>
          <w:bCs/>
          <w:sz w:val="20"/>
          <w:szCs w:val="20"/>
        </w:rPr>
        <w:t>cobran fuerza probatoria por sí mismas</w:t>
      </w:r>
      <w:r w:rsidRPr="00E70F61">
        <w:rPr>
          <w:rFonts w:ascii="Tahoma" w:hAnsi="Tahoma" w:cs="Tahoma"/>
          <w:sz w:val="20"/>
          <w:szCs w:val="20"/>
        </w:rPr>
        <w:t>, tal como señala Salas Marrero: “ (…) el fundamento de la fe pública notarial radica en el deber del Estado, como regulador de la paz social, de proteger los derechos subjetivos, evitando que surjan contiendas que requieran la intervención de los Tribunales. Para llevar a cabo tal protección, el Estado necesita conocer con certeza los derechos sobre los que debe ejercer esa tutela, impidiendo que se niegue su existencia y garantizando su efectividad, necesidad que viene a llenar la fe pública notarial”.</w:t>
      </w:r>
    </w:p>
    <w:p w:rsidR="00E70F61" w:rsidRDefault="00E70F61" w:rsidP="00E70F61">
      <w:pPr>
        <w:tabs>
          <w:tab w:val="num" w:pos="720"/>
        </w:tabs>
        <w:spacing w:after="0" w:line="240" w:lineRule="auto"/>
        <w:ind w:left="567"/>
        <w:jc w:val="both"/>
        <w:rPr>
          <w:rFonts w:ascii="Tahoma" w:hAnsi="Tahoma" w:cs="Tahoma"/>
          <w:sz w:val="20"/>
          <w:szCs w:val="20"/>
        </w:rPr>
      </w:pPr>
    </w:p>
    <w:p w:rsidR="00A266E4" w:rsidRDefault="00A266E4" w:rsidP="00E70F61">
      <w:pPr>
        <w:numPr>
          <w:ilvl w:val="0"/>
          <w:numId w:val="15"/>
        </w:numPr>
        <w:tabs>
          <w:tab w:val="num" w:pos="720"/>
        </w:tabs>
        <w:spacing w:after="0" w:line="240" w:lineRule="auto"/>
        <w:ind w:left="567" w:hanging="425"/>
        <w:jc w:val="both"/>
        <w:rPr>
          <w:rFonts w:ascii="Tahoma" w:hAnsi="Tahoma" w:cs="Tahoma"/>
          <w:sz w:val="20"/>
          <w:szCs w:val="20"/>
        </w:rPr>
      </w:pPr>
      <w:r w:rsidRPr="00E70F61">
        <w:rPr>
          <w:rFonts w:ascii="Tahoma" w:hAnsi="Tahoma" w:cs="Tahoma"/>
          <w:sz w:val="20"/>
          <w:szCs w:val="20"/>
        </w:rPr>
        <w:t xml:space="preserve">Es importante además indicar que la observancia de las reglas de notificación que son aplicables a cada supuesto específico, en este caso las de la normativa que rigen las actuaciones notariales, constituyen un elemento esencial para que el acto de notificación surta todos sus efectos y esté con armonía con el </w:t>
      </w:r>
      <w:r w:rsidRPr="00E70F61">
        <w:rPr>
          <w:rFonts w:ascii="Tahoma" w:hAnsi="Tahoma" w:cs="Tahoma"/>
          <w:b/>
          <w:bCs/>
          <w:sz w:val="20"/>
          <w:szCs w:val="20"/>
        </w:rPr>
        <w:t>derecho al debido procedimiento</w:t>
      </w:r>
      <w:r w:rsidRPr="00E70F61">
        <w:rPr>
          <w:rFonts w:ascii="Tahoma" w:hAnsi="Tahoma" w:cs="Tahoma"/>
          <w:sz w:val="20"/>
          <w:szCs w:val="20"/>
        </w:rPr>
        <w:t xml:space="preserve"> que le asiste a todo administrado. Al respecto, es relevante reiterar el criterio establecido en la Sentencia Nº 2095-2004-PA/TC emitida por el Tribunal Constitucional el 19 de mayo de 2005, y ratificado en la STC 06760-2008-AA, que en torno a este tema señala lo siguiente: “ (…) resulta necesario diferenciar dos cuestiones concernientes a la notificación de los actos administrativos: a) el lugar donde debe realizarse la notificación; y, b) la forma en que dicha notificación debe efectuarse. Sin duda, esta salvedad reviste especial relevancia, por cuanto con una </w:t>
      </w:r>
      <w:r w:rsidRPr="00E70F61">
        <w:rPr>
          <w:rFonts w:ascii="Tahoma" w:hAnsi="Tahoma" w:cs="Tahoma"/>
          <w:sz w:val="20"/>
          <w:szCs w:val="20"/>
        </w:rPr>
        <w:lastRenderedPageBreak/>
        <w:t>debida notificación- entendida como aquella ajustada a lo dispuesto en las normativas aplicables al caso-, el administrado podrá ver garantizado su derecho al debido procedimiento administrativo, especialmente en lo que respecta al derecho de defensa, pudiendo, de este modo, tomar conocimiento de los actos administrativos en su contra e impugnarlos de manera oportuna.”</w:t>
      </w:r>
    </w:p>
    <w:p w:rsidR="00E70F61" w:rsidRDefault="00E70F61" w:rsidP="00E70F61">
      <w:pPr>
        <w:tabs>
          <w:tab w:val="num" w:pos="720"/>
        </w:tabs>
        <w:spacing w:after="0" w:line="240" w:lineRule="auto"/>
        <w:ind w:left="567"/>
        <w:jc w:val="both"/>
        <w:rPr>
          <w:rFonts w:ascii="Tahoma" w:hAnsi="Tahoma" w:cs="Tahoma"/>
          <w:sz w:val="20"/>
          <w:szCs w:val="20"/>
        </w:rPr>
      </w:pPr>
    </w:p>
    <w:p w:rsidR="00A266E4" w:rsidRDefault="00A266E4" w:rsidP="00E70F61">
      <w:pPr>
        <w:numPr>
          <w:ilvl w:val="0"/>
          <w:numId w:val="15"/>
        </w:numPr>
        <w:tabs>
          <w:tab w:val="num" w:pos="720"/>
        </w:tabs>
        <w:spacing w:after="0" w:line="240" w:lineRule="auto"/>
        <w:ind w:left="567" w:hanging="425"/>
        <w:jc w:val="both"/>
        <w:rPr>
          <w:rFonts w:ascii="Tahoma" w:hAnsi="Tahoma" w:cs="Tahoma"/>
          <w:sz w:val="20"/>
          <w:szCs w:val="20"/>
        </w:rPr>
      </w:pPr>
      <w:r w:rsidRPr="00E70F61">
        <w:rPr>
          <w:rFonts w:ascii="Tahoma" w:hAnsi="Tahoma" w:cs="Tahoma"/>
          <w:sz w:val="20"/>
          <w:szCs w:val="20"/>
        </w:rPr>
        <w:t>En ese orden de ideas, queda claro que la diligencia de la comunicación notarial- regulado por el Decreto Legislativo Nº 1049, Ley del Notariado, prevalece sobre la Ley Nº 27444, Ley de Procedimiento Administrativo General, ello en atención al Principio de Especificidad. Dicho principio establece que, un precepto de contenido especial, prima sobre el mero criterio general, lo que implica que cuando dos normas de similar jerarquía establecen disposiciones contrarias ( Régimen de Notificación Personal) o alternativas, pero una es aplicable a un aspecto más general de situación y la otra a un aspecto restringido, prima ésta en su campo específico. Es preciso señalar que, este criterio surge de conformidad con lo dispuesto en el inciso 8 del artículo 139 de la Constitución y el artículo 8 del Título Preliminar del Código Civil, que dan fuerza de Ley a los principios generales del Derecho en aquellos casos de defecto o vacío legislativo.</w:t>
      </w:r>
    </w:p>
    <w:p w:rsidR="00E70F61" w:rsidRDefault="00E70F61" w:rsidP="00E70F61">
      <w:pPr>
        <w:pStyle w:val="Prrafodelista"/>
        <w:rPr>
          <w:rFonts w:ascii="Tahoma" w:hAnsi="Tahoma" w:cs="Tahoma"/>
          <w:sz w:val="20"/>
        </w:rPr>
      </w:pPr>
    </w:p>
    <w:p w:rsidR="00A266E4" w:rsidRDefault="00A266E4" w:rsidP="00E70F61">
      <w:pPr>
        <w:numPr>
          <w:ilvl w:val="0"/>
          <w:numId w:val="15"/>
        </w:numPr>
        <w:tabs>
          <w:tab w:val="num" w:pos="720"/>
        </w:tabs>
        <w:spacing w:after="0" w:line="240" w:lineRule="auto"/>
        <w:ind w:left="567" w:hanging="425"/>
        <w:jc w:val="both"/>
        <w:rPr>
          <w:rFonts w:ascii="Tahoma" w:hAnsi="Tahoma" w:cs="Tahoma"/>
          <w:sz w:val="20"/>
          <w:szCs w:val="20"/>
        </w:rPr>
      </w:pPr>
      <w:r w:rsidRPr="00E70F61">
        <w:rPr>
          <w:rFonts w:ascii="Tahoma" w:hAnsi="Tahoma" w:cs="Tahoma"/>
          <w:sz w:val="20"/>
          <w:szCs w:val="20"/>
        </w:rPr>
        <w:t>Consecuentemente, de acuerdo a la información proporcionada por el Notario Cecilia Hidalgo Morán, a través certificación notarial obrante al adverso de la Carta Notarial Nº 007-2010-GLS cursada el 05 de junio de 2010 al Contratista, se advierte que la misma se diligenció conforme a lo estipulado en el artículo 100 del Decreto Legislativo Nº 1049, situación fáctica que acredita que la Entidad cumplió con la formalidad establecida en el artículo 169º del Reglamento.</w:t>
      </w:r>
    </w:p>
    <w:p w:rsidR="00E70F61" w:rsidRDefault="00E70F61" w:rsidP="00E70F61">
      <w:pPr>
        <w:pStyle w:val="Prrafodelista"/>
        <w:rPr>
          <w:rFonts w:ascii="Tahoma" w:hAnsi="Tahoma" w:cs="Tahoma"/>
          <w:sz w:val="20"/>
        </w:rPr>
      </w:pPr>
    </w:p>
    <w:p w:rsidR="00A266E4" w:rsidRDefault="00A266E4" w:rsidP="00E70F61">
      <w:pPr>
        <w:numPr>
          <w:ilvl w:val="0"/>
          <w:numId w:val="15"/>
        </w:numPr>
        <w:tabs>
          <w:tab w:val="num" w:pos="720"/>
        </w:tabs>
        <w:spacing w:after="0" w:line="240" w:lineRule="auto"/>
        <w:ind w:left="567" w:hanging="425"/>
        <w:jc w:val="both"/>
        <w:rPr>
          <w:rFonts w:ascii="Tahoma" w:hAnsi="Tahoma" w:cs="Tahoma"/>
          <w:sz w:val="20"/>
          <w:szCs w:val="20"/>
        </w:rPr>
      </w:pPr>
      <w:r w:rsidRPr="00E70F61">
        <w:rPr>
          <w:rFonts w:ascii="Tahoma" w:hAnsi="Tahoma" w:cs="Tahoma"/>
          <w:sz w:val="20"/>
          <w:szCs w:val="20"/>
        </w:rPr>
        <w:t xml:space="preserve">Nótese, además, que mediante Carta Notarial Nº 1201-2010-GG del 25 de junio de 2010, remitida por conducto notarial y diligenciada el 02.07.2010, la Entidad reiteró la comunicación al representante del Consorcio del contenido de la Resolución de Gerencia General Nº 0437-2010-GG del 31 de mayo de 2010, que dispone la Resolución de Contrato </w:t>
      </w:r>
      <w:r w:rsidRPr="00E70F61">
        <w:rPr>
          <w:rFonts w:ascii="Tahoma" w:hAnsi="Tahoma" w:cs="Tahoma"/>
          <w:sz w:val="20"/>
          <w:szCs w:val="20"/>
          <w:u w:val="single"/>
        </w:rPr>
        <w:t>al domicilio antes referido</w:t>
      </w:r>
      <w:r w:rsidRPr="00E70F61">
        <w:rPr>
          <w:rFonts w:ascii="Tahoma" w:hAnsi="Tahoma" w:cs="Tahoma"/>
          <w:sz w:val="20"/>
          <w:szCs w:val="20"/>
        </w:rPr>
        <w:t>, tal como expresamente lo ha reconocido el Consorcio en su escrito de descargos que acompaña su solicitud de invitación a conciliar de fecha 23 de julio de 2010, hecho que de por sí, desvirtúa cualquier indefensión al Contratista en la notificación cuestionado ó la supuesta vulneración al debido procedimiento y al derecho de defensa.</w:t>
      </w:r>
    </w:p>
    <w:p w:rsidR="00E70F61" w:rsidRDefault="00E70F61" w:rsidP="00E70F61">
      <w:pPr>
        <w:pStyle w:val="Prrafodelista"/>
        <w:rPr>
          <w:rFonts w:ascii="Tahoma" w:hAnsi="Tahoma" w:cs="Tahoma"/>
          <w:sz w:val="20"/>
        </w:rPr>
      </w:pPr>
    </w:p>
    <w:p w:rsidR="00A266E4" w:rsidRDefault="00A266E4" w:rsidP="00E70F61">
      <w:pPr>
        <w:numPr>
          <w:ilvl w:val="0"/>
          <w:numId w:val="15"/>
        </w:numPr>
        <w:tabs>
          <w:tab w:val="num" w:pos="720"/>
        </w:tabs>
        <w:spacing w:after="0" w:line="240" w:lineRule="auto"/>
        <w:ind w:left="567" w:hanging="425"/>
        <w:jc w:val="both"/>
        <w:rPr>
          <w:rFonts w:ascii="Tahoma" w:hAnsi="Tahoma" w:cs="Tahoma"/>
          <w:sz w:val="20"/>
          <w:szCs w:val="20"/>
        </w:rPr>
      </w:pPr>
      <w:r w:rsidRPr="00E70F61">
        <w:rPr>
          <w:rFonts w:ascii="Tahoma" w:hAnsi="Tahoma" w:cs="Tahoma"/>
          <w:sz w:val="20"/>
          <w:szCs w:val="20"/>
        </w:rPr>
        <w:t xml:space="preserve">Asimismo, de acuerdo a lo establecido por la norma aplicable, las controversias que surjan entre las partes sobre la ejecución, interpretación, resolución, inexistencia, ineficacia o invalidez del contrato se resolverá mediante conciliación y/o arbitraje, según el acuerdo de las partes, siendo que la parte que se tiene por afectada, tiene derecho a solicitar su inicio conforme lo preceptúa el artículo 170º del Reglamento. Entonces, considerando que la Entidad en su escrito de denuncia, ha informado que el Contratista no solicitó discutir la resolución de contrato </w:t>
      </w:r>
      <w:r w:rsidRPr="00E70F61">
        <w:rPr>
          <w:rFonts w:ascii="Tahoma" w:hAnsi="Tahoma" w:cs="Tahoma"/>
          <w:sz w:val="20"/>
          <w:szCs w:val="20"/>
          <w:u w:val="single"/>
        </w:rPr>
        <w:t>dentro de los plazos establecidos en la norma conforme a su derecho</w:t>
      </w:r>
      <w:r w:rsidRPr="00E70F61">
        <w:rPr>
          <w:rFonts w:ascii="Tahoma" w:hAnsi="Tahoma" w:cs="Tahoma"/>
          <w:sz w:val="20"/>
          <w:szCs w:val="20"/>
        </w:rPr>
        <w:t>, debe entenderse que la misma ha quedado consentida.</w:t>
      </w:r>
    </w:p>
    <w:p w:rsidR="00E70F61" w:rsidRDefault="00E70F61" w:rsidP="00E70F61">
      <w:pPr>
        <w:pStyle w:val="Prrafodelista"/>
        <w:rPr>
          <w:rFonts w:ascii="Tahoma" w:hAnsi="Tahoma" w:cs="Tahoma"/>
          <w:sz w:val="20"/>
        </w:rPr>
      </w:pPr>
    </w:p>
    <w:p w:rsidR="00A266E4" w:rsidRDefault="00A266E4" w:rsidP="00E70F61">
      <w:pPr>
        <w:numPr>
          <w:ilvl w:val="0"/>
          <w:numId w:val="15"/>
        </w:numPr>
        <w:tabs>
          <w:tab w:val="num" w:pos="720"/>
        </w:tabs>
        <w:spacing w:after="0" w:line="240" w:lineRule="auto"/>
        <w:ind w:left="567" w:hanging="425"/>
        <w:jc w:val="both"/>
        <w:rPr>
          <w:rFonts w:ascii="Tahoma" w:hAnsi="Tahoma" w:cs="Tahoma"/>
          <w:sz w:val="20"/>
          <w:szCs w:val="20"/>
        </w:rPr>
      </w:pPr>
      <w:r w:rsidRPr="00E70F61">
        <w:rPr>
          <w:rFonts w:ascii="Tahoma" w:hAnsi="Tahoma" w:cs="Tahoma"/>
          <w:sz w:val="20"/>
          <w:szCs w:val="20"/>
        </w:rPr>
        <w:t xml:space="preserve">Habiendo dilucidado el aspecto formal y procedimental de la resolución contractual bajo examen, corresponde determinar si </w:t>
      </w:r>
      <w:r w:rsidRPr="00E70F61">
        <w:rPr>
          <w:rFonts w:ascii="Tahoma" w:hAnsi="Tahoma" w:cs="Tahoma"/>
          <w:sz w:val="20"/>
          <w:szCs w:val="20"/>
          <w:lang w:val="es-PE"/>
        </w:rPr>
        <w:t xml:space="preserve">la Contratista es responsable de la resolución del referido contrato por el incumplimiento injustificado de sus obligaciones contractuales, ya que </w:t>
      </w:r>
      <w:r w:rsidRPr="00E70F61">
        <w:rPr>
          <w:rFonts w:ascii="Tahoma" w:hAnsi="Tahoma" w:cs="Tahoma"/>
          <w:sz w:val="20"/>
          <w:szCs w:val="20"/>
        </w:rPr>
        <w:t xml:space="preserve">en el supuesto de haberse producido por razones de fuerza </w:t>
      </w:r>
      <w:r w:rsidRPr="00E70F61">
        <w:rPr>
          <w:rFonts w:ascii="Tahoma" w:hAnsi="Tahoma" w:cs="Tahoma"/>
          <w:sz w:val="20"/>
          <w:szCs w:val="20"/>
        </w:rPr>
        <w:lastRenderedPageBreak/>
        <w:t>mayor o caso fortuito, estaremos ante causas justificantes de la inejecución de obligaciones.</w:t>
      </w:r>
    </w:p>
    <w:p w:rsidR="00E70F61" w:rsidRDefault="00E70F61" w:rsidP="00E70F61">
      <w:pPr>
        <w:pStyle w:val="Prrafodelista"/>
        <w:rPr>
          <w:rFonts w:ascii="Tahoma" w:hAnsi="Tahoma" w:cs="Tahoma"/>
          <w:sz w:val="20"/>
        </w:rPr>
      </w:pPr>
    </w:p>
    <w:p w:rsidR="00E70F61" w:rsidRPr="00CD2781" w:rsidRDefault="00E70F61" w:rsidP="00E70F61">
      <w:pPr>
        <w:ind w:left="284"/>
        <w:rPr>
          <w:rFonts w:ascii="Tahoma" w:hAnsi="Tahoma" w:cs="Tahoma"/>
          <w:b/>
          <w:bCs/>
          <w:i/>
          <w:iCs/>
          <w:sz w:val="20"/>
          <w:szCs w:val="20"/>
          <w:lang w:val="es-ES_tradnl"/>
        </w:rPr>
      </w:pPr>
      <w:r w:rsidRPr="00CD2781">
        <w:rPr>
          <w:rFonts w:ascii="Tahoma" w:hAnsi="Tahoma" w:cs="Tahoma"/>
          <w:b/>
          <w:bCs/>
          <w:i/>
          <w:iCs/>
          <w:sz w:val="20"/>
          <w:szCs w:val="20"/>
          <w:lang w:val="es-ES_tradnl"/>
        </w:rPr>
        <w:t>Respecto al incumplimiento del contratista</w:t>
      </w:r>
    </w:p>
    <w:p w:rsidR="00A266E4" w:rsidRPr="00E70F61" w:rsidRDefault="00A266E4" w:rsidP="00E70F61">
      <w:pPr>
        <w:numPr>
          <w:ilvl w:val="0"/>
          <w:numId w:val="15"/>
        </w:numPr>
        <w:tabs>
          <w:tab w:val="num" w:pos="720"/>
        </w:tabs>
        <w:spacing w:after="0" w:line="240" w:lineRule="auto"/>
        <w:ind w:left="567" w:hanging="425"/>
        <w:jc w:val="both"/>
        <w:rPr>
          <w:rFonts w:ascii="Tahoma" w:hAnsi="Tahoma" w:cs="Tahoma"/>
          <w:sz w:val="20"/>
          <w:szCs w:val="20"/>
        </w:rPr>
      </w:pPr>
      <w:r w:rsidRPr="00E70F61">
        <w:rPr>
          <w:rFonts w:ascii="Tahoma" w:hAnsi="Tahoma" w:cs="Tahoma"/>
          <w:sz w:val="20"/>
          <w:szCs w:val="20"/>
        </w:rPr>
        <w:t xml:space="preserve">Así, pues, conforme a lo establecido en el artículo 50 de la Ley, los Contratistas están obligados a cumplir cabalmente con lo ofrecido en su propuesta y en cualquier </w:t>
      </w:r>
      <w:r w:rsidRPr="00E70F61">
        <w:rPr>
          <w:rFonts w:ascii="Tahoma" w:hAnsi="Tahoma" w:cs="Tahoma"/>
          <w:sz w:val="20"/>
          <w:szCs w:val="20"/>
          <w:lang w:val="es-PE"/>
        </w:rPr>
        <w:t xml:space="preserve">manifestación formal documentada que haya aportado en el curso del proceso de selección o en la formalización del contrato. En esa misma línea, el artículo 201 del Reglamento prevé que el Contrato es obligatorio para las partes que lo suscriben. Por ello, el Contrato constituye la fuente de obligación de las partes contratantes, la cual está constituida en el mandato legal, reglamentario, las bases integradas y la oferta </w:t>
      </w:r>
      <w:r w:rsidR="00E70F61" w:rsidRPr="00E70F61">
        <w:rPr>
          <w:rFonts w:ascii="Tahoma" w:hAnsi="Tahoma" w:cs="Tahoma"/>
          <w:sz w:val="20"/>
          <w:szCs w:val="20"/>
          <w:lang w:val="es-PE"/>
        </w:rPr>
        <w:t>ganadora,</w:t>
      </w:r>
      <w:r w:rsidRPr="00E70F61">
        <w:rPr>
          <w:rFonts w:ascii="Tahoma" w:hAnsi="Tahoma" w:cs="Tahoma"/>
          <w:sz w:val="20"/>
          <w:szCs w:val="20"/>
          <w:lang w:val="es-PE"/>
        </w:rPr>
        <w:t xml:space="preserve"> por lo que debe ser cumplido tanto por el Contratista como por la Entidad, debido a que su formalización constituye una declaración de voluntad y al estar debidamente perfeccionado, tiene fuerza de Ley.</w:t>
      </w:r>
    </w:p>
    <w:p w:rsidR="00E70F61" w:rsidRDefault="00E70F61" w:rsidP="00E70F61">
      <w:pPr>
        <w:tabs>
          <w:tab w:val="num" w:pos="720"/>
        </w:tabs>
        <w:spacing w:after="0" w:line="240" w:lineRule="auto"/>
        <w:ind w:left="567"/>
        <w:jc w:val="both"/>
        <w:rPr>
          <w:rFonts w:ascii="Tahoma" w:hAnsi="Tahoma" w:cs="Tahoma"/>
          <w:sz w:val="20"/>
          <w:szCs w:val="20"/>
        </w:rPr>
      </w:pPr>
    </w:p>
    <w:p w:rsidR="00A266E4" w:rsidRPr="00E70F61" w:rsidRDefault="00A266E4" w:rsidP="00E70F61">
      <w:pPr>
        <w:numPr>
          <w:ilvl w:val="0"/>
          <w:numId w:val="15"/>
        </w:numPr>
        <w:tabs>
          <w:tab w:val="num" w:pos="720"/>
        </w:tabs>
        <w:spacing w:after="0" w:line="240" w:lineRule="auto"/>
        <w:ind w:left="567" w:hanging="425"/>
        <w:jc w:val="both"/>
        <w:rPr>
          <w:rFonts w:ascii="Tahoma" w:hAnsi="Tahoma" w:cs="Tahoma"/>
          <w:sz w:val="20"/>
          <w:szCs w:val="20"/>
        </w:rPr>
      </w:pPr>
      <w:r w:rsidRPr="00E70F61">
        <w:rPr>
          <w:rFonts w:ascii="Tahoma" w:hAnsi="Tahoma" w:cs="Tahoma"/>
          <w:sz w:val="20"/>
          <w:szCs w:val="20"/>
          <w:lang w:val="es-ES_tradnl"/>
        </w:rPr>
        <w:t>En su denuncia, la Entidad ha señalado que el Contratista a pesar de los reiterados requerimiento realizados, no cumplió con entregar las 1000 tapas Polietileno reciclado, de conformidad a las características técnicas referidas en las Bases del Proceso, y dentro de los plazos de entrega descritos de la siguiente manera:</w:t>
      </w:r>
    </w:p>
    <w:p w:rsidR="00E70F61" w:rsidRDefault="00E70F61" w:rsidP="00E70F61">
      <w:pPr>
        <w:spacing w:after="0" w:line="240" w:lineRule="auto"/>
        <w:ind w:left="1440"/>
        <w:jc w:val="both"/>
        <w:rPr>
          <w:rFonts w:ascii="Tahoma" w:hAnsi="Tahoma" w:cs="Tahoma"/>
          <w:sz w:val="20"/>
          <w:szCs w:val="20"/>
        </w:rPr>
      </w:pPr>
    </w:p>
    <w:p w:rsidR="00A266E4" w:rsidRPr="00CD2781" w:rsidRDefault="00A266E4" w:rsidP="00A266E4">
      <w:pPr>
        <w:numPr>
          <w:ilvl w:val="0"/>
          <w:numId w:val="14"/>
        </w:numPr>
        <w:spacing w:after="0" w:line="240" w:lineRule="auto"/>
        <w:jc w:val="both"/>
        <w:rPr>
          <w:rFonts w:ascii="Tahoma" w:hAnsi="Tahoma" w:cs="Tahoma"/>
          <w:sz w:val="20"/>
          <w:szCs w:val="20"/>
        </w:rPr>
      </w:pPr>
      <w:r w:rsidRPr="00CD2781">
        <w:rPr>
          <w:rFonts w:ascii="Tahoma" w:hAnsi="Tahoma" w:cs="Tahoma"/>
          <w:sz w:val="20"/>
          <w:szCs w:val="20"/>
        </w:rPr>
        <w:t>Primera Entrega 200 tapas al otorgamiento de la buena pro</w:t>
      </w:r>
    </w:p>
    <w:p w:rsidR="00A266E4" w:rsidRPr="00CD2781" w:rsidRDefault="00A266E4" w:rsidP="00A266E4">
      <w:pPr>
        <w:numPr>
          <w:ilvl w:val="0"/>
          <w:numId w:val="14"/>
        </w:numPr>
        <w:spacing w:after="0" w:line="240" w:lineRule="auto"/>
        <w:jc w:val="both"/>
        <w:rPr>
          <w:rFonts w:ascii="Tahoma" w:hAnsi="Tahoma" w:cs="Tahoma"/>
          <w:sz w:val="20"/>
          <w:szCs w:val="20"/>
        </w:rPr>
      </w:pPr>
      <w:r w:rsidRPr="00CD2781">
        <w:rPr>
          <w:rFonts w:ascii="Tahoma" w:hAnsi="Tahoma" w:cs="Tahoma"/>
          <w:sz w:val="20"/>
          <w:szCs w:val="20"/>
        </w:rPr>
        <w:t>Segunda Entrega 800 tapas, a los 3 meses de otorgada la buena pro.</w:t>
      </w:r>
    </w:p>
    <w:p w:rsidR="00E70F61" w:rsidRDefault="00E70F61" w:rsidP="00E70F61">
      <w:pPr>
        <w:spacing w:after="0" w:line="240" w:lineRule="auto"/>
        <w:ind w:left="644"/>
        <w:jc w:val="both"/>
        <w:rPr>
          <w:rFonts w:ascii="Tahoma" w:hAnsi="Tahoma" w:cs="Tahoma"/>
          <w:sz w:val="20"/>
          <w:szCs w:val="20"/>
        </w:rPr>
      </w:pPr>
    </w:p>
    <w:p w:rsidR="00A266E4" w:rsidRPr="00CD2781" w:rsidRDefault="00A266E4" w:rsidP="00A266E4">
      <w:pPr>
        <w:numPr>
          <w:ilvl w:val="0"/>
          <w:numId w:val="15"/>
        </w:numPr>
        <w:spacing w:after="0" w:line="240" w:lineRule="auto"/>
        <w:jc w:val="both"/>
        <w:rPr>
          <w:rFonts w:ascii="Tahoma" w:hAnsi="Tahoma" w:cs="Tahoma"/>
          <w:sz w:val="20"/>
          <w:szCs w:val="20"/>
        </w:rPr>
      </w:pPr>
      <w:r w:rsidRPr="00CD2781">
        <w:rPr>
          <w:rFonts w:ascii="Tahoma" w:hAnsi="Tahoma" w:cs="Tahoma"/>
          <w:sz w:val="20"/>
          <w:szCs w:val="20"/>
        </w:rPr>
        <w:t>La Entidad ha sustentado su imputación, en virtud a los Informes de Ensayos Nros 013-10 y 066-10, emitidos por el Laboratorio de Estructuras Sísmicas de la Pontifica Universidad Católica, en el que se indican las siguientes observaciones:</w:t>
      </w:r>
    </w:p>
    <w:p w:rsidR="00E70F61" w:rsidRDefault="00E70F61" w:rsidP="00A266E4">
      <w:pPr>
        <w:ind w:left="540"/>
        <w:jc w:val="both"/>
        <w:rPr>
          <w:rFonts w:ascii="Tahoma" w:hAnsi="Tahoma" w:cs="Tahoma"/>
          <w:b/>
          <w:bCs/>
          <w:i/>
          <w:iCs/>
          <w:sz w:val="20"/>
          <w:szCs w:val="20"/>
          <w:u w:val="single"/>
        </w:rPr>
      </w:pPr>
    </w:p>
    <w:p w:rsidR="00A266E4" w:rsidRPr="00CD2781" w:rsidRDefault="00A266E4" w:rsidP="00A266E4">
      <w:pPr>
        <w:ind w:left="540"/>
        <w:jc w:val="both"/>
        <w:rPr>
          <w:rFonts w:ascii="Tahoma" w:hAnsi="Tahoma" w:cs="Tahoma"/>
          <w:b/>
          <w:bCs/>
          <w:i/>
          <w:iCs/>
          <w:sz w:val="20"/>
          <w:szCs w:val="20"/>
          <w:u w:val="single"/>
        </w:rPr>
      </w:pPr>
      <w:r w:rsidRPr="00CD2781">
        <w:rPr>
          <w:rFonts w:ascii="Tahoma" w:hAnsi="Tahoma" w:cs="Tahoma"/>
          <w:b/>
          <w:bCs/>
          <w:i/>
          <w:iCs/>
          <w:sz w:val="20"/>
          <w:szCs w:val="20"/>
          <w:u w:val="single"/>
        </w:rPr>
        <w:t>Informe Nº 013-10 de fecha 26 de enero de 2010 “Mediciones y Ensayo de Resistencia al tránsito Tapa y Marco de Polietileno reciclado” N.T.P. 339.111</w:t>
      </w:r>
    </w:p>
    <w:p w:rsidR="00A266E4" w:rsidRPr="00CD2781" w:rsidRDefault="00A266E4" w:rsidP="00A266E4">
      <w:pPr>
        <w:ind w:left="540"/>
        <w:jc w:val="both"/>
        <w:rPr>
          <w:rFonts w:ascii="Tahoma" w:hAnsi="Tahoma" w:cs="Tahoma"/>
          <w:b/>
          <w:bCs/>
          <w:i/>
          <w:iCs/>
          <w:sz w:val="20"/>
          <w:szCs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1559"/>
        <w:gridCol w:w="1134"/>
        <w:gridCol w:w="1418"/>
        <w:gridCol w:w="1134"/>
      </w:tblGrid>
      <w:tr w:rsidR="00A266E4" w:rsidRPr="00CD2781" w:rsidTr="00E70F61">
        <w:trPr>
          <w:trHeight w:val="310"/>
        </w:trPr>
        <w:tc>
          <w:tcPr>
            <w:tcW w:w="2410" w:type="dxa"/>
            <w:vMerge w:val="restart"/>
          </w:tcPr>
          <w:p w:rsidR="00A266E4" w:rsidRPr="00CD2781" w:rsidRDefault="00A266E4" w:rsidP="00CD2781">
            <w:pPr>
              <w:jc w:val="both"/>
              <w:rPr>
                <w:rFonts w:ascii="Tahoma" w:hAnsi="Tahoma" w:cs="Tahoma"/>
                <w:b/>
                <w:bCs/>
                <w:sz w:val="20"/>
                <w:szCs w:val="20"/>
              </w:rPr>
            </w:pPr>
            <w:r w:rsidRPr="00CD2781">
              <w:rPr>
                <w:rFonts w:ascii="Tahoma" w:hAnsi="Tahoma" w:cs="Tahoma"/>
                <w:b/>
                <w:bCs/>
                <w:sz w:val="20"/>
                <w:szCs w:val="20"/>
              </w:rPr>
              <w:t>TAPA</w:t>
            </w:r>
          </w:p>
        </w:tc>
        <w:tc>
          <w:tcPr>
            <w:tcW w:w="5245" w:type="dxa"/>
            <w:gridSpan w:val="4"/>
          </w:tcPr>
          <w:p w:rsidR="00A266E4" w:rsidRPr="00CD2781" w:rsidRDefault="00A266E4" w:rsidP="00CD2781">
            <w:pPr>
              <w:jc w:val="center"/>
              <w:rPr>
                <w:rFonts w:ascii="Tahoma" w:hAnsi="Tahoma" w:cs="Tahoma"/>
                <w:b/>
                <w:bCs/>
                <w:i/>
                <w:iCs/>
                <w:sz w:val="20"/>
                <w:szCs w:val="20"/>
              </w:rPr>
            </w:pPr>
            <w:r w:rsidRPr="00CD2781">
              <w:rPr>
                <w:rFonts w:ascii="Tahoma" w:hAnsi="Tahoma" w:cs="Tahoma"/>
                <w:b/>
                <w:bCs/>
                <w:i/>
                <w:iCs/>
                <w:sz w:val="20"/>
                <w:szCs w:val="20"/>
              </w:rPr>
              <w:t>Circular, plana, con borde tronco –cónico. Cara inferior llana, sin nervaduras</w:t>
            </w:r>
          </w:p>
        </w:tc>
      </w:tr>
      <w:tr w:rsidR="00A266E4" w:rsidRPr="00CD2781" w:rsidTr="00E70F61">
        <w:trPr>
          <w:trHeight w:val="230"/>
        </w:trPr>
        <w:tc>
          <w:tcPr>
            <w:tcW w:w="2410" w:type="dxa"/>
            <w:vMerge/>
          </w:tcPr>
          <w:p w:rsidR="00A266E4" w:rsidRPr="00CD2781" w:rsidRDefault="00A266E4" w:rsidP="00CD2781">
            <w:pPr>
              <w:jc w:val="both"/>
              <w:rPr>
                <w:rFonts w:ascii="Tahoma" w:hAnsi="Tahoma" w:cs="Tahoma"/>
                <w:b/>
                <w:bCs/>
                <w:sz w:val="20"/>
                <w:szCs w:val="20"/>
              </w:rPr>
            </w:pPr>
          </w:p>
        </w:tc>
        <w:tc>
          <w:tcPr>
            <w:tcW w:w="1559" w:type="dxa"/>
          </w:tcPr>
          <w:p w:rsidR="00A266E4" w:rsidRPr="00CD2781" w:rsidRDefault="00A266E4" w:rsidP="00CD2781">
            <w:pPr>
              <w:jc w:val="center"/>
              <w:rPr>
                <w:rFonts w:ascii="Tahoma" w:hAnsi="Tahoma" w:cs="Tahoma"/>
                <w:b/>
                <w:bCs/>
                <w:i/>
                <w:iCs/>
                <w:sz w:val="20"/>
                <w:szCs w:val="20"/>
              </w:rPr>
            </w:pPr>
            <w:r w:rsidRPr="00CD2781">
              <w:rPr>
                <w:rFonts w:ascii="Tahoma" w:hAnsi="Tahoma" w:cs="Tahoma"/>
                <w:b/>
                <w:bCs/>
                <w:i/>
                <w:iCs/>
                <w:sz w:val="20"/>
                <w:szCs w:val="20"/>
              </w:rPr>
              <w:t>A</w:t>
            </w:r>
          </w:p>
        </w:tc>
        <w:tc>
          <w:tcPr>
            <w:tcW w:w="1134" w:type="dxa"/>
          </w:tcPr>
          <w:p w:rsidR="00A266E4" w:rsidRPr="00CD2781" w:rsidRDefault="00A266E4" w:rsidP="00CD2781">
            <w:pPr>
              <w:jc w:val="center"/>
              <w:rPr>
                <w:rFonts w:ascii="Tahoma" w:hAnsi="Tahoma" w:cs="Tahoma"/>
                <w:b/>
                <w:bCs/>
                <w:i/>
                <w:iCs/>
                <w:sz w:val="20"/>
                <w:szCs w:val="20"/>
              </w:rPr>
            </w:pPr>
            <w:r w:rsidRPr="00CD2781">
              <w:rPr>
                <w:rFonts w:ascii="Tahoma" w:hAnsi="Tahoma" w:cs="Tahoma"/>
                <w:b/>
                <w:bCs/>
                <w:i/>
                <w:iCs/>
                <w:sz w:val="20"/>
                <w:szCs w:val="20"/>
              </w:rPr>
              <w:t>B</w:t>
            </w:r>
          </w:p>
        </w:tc>
        <w:tc>
          <w:tcPr>
            <w:tcW w:w="1418" w:type="dxa"/>
          </w:tcPr>
          <w:p w:rsidR="00A266E4" w:rsidRPr="00CD2781" w:rsidRDefault="00A266E4" w:rsidP="00CD2781">
            <w:pPr>
              <w:jc w:val="center"/>
              <w:rPr>
                <w:rFonts w:ascii="Tahoma" w:hAnsi="Tahoma" w:cs="Tahoma"/>
                <w:b/>
                <w:bCs/>
                <w:i/>
                <w:iCs/>
                <w:sz w:val="20"/>
                <w:szCs w:val="20"/>
              </w:rPr>
            </w:pPr>
            <w:r w:rsidRPr="00CD2781">
              <w:rPr>
                <w:rFonts w:ascii="Tahoma" w:hAnsi="Tahoma" w:cs="Tahoma"/>
                <w:b/>
                <w:bCs/>
                <w:i/>
                <w:iCs/>
                <w:sz w:val="20"/>
                <w:szCs w:val="20"/>
              </w:rPr>
              <w:t>C</w:t>
            </w:r>
          </w:p>
        </w:tc>
        <w:tc>
          <w:tcPr>
            <w:tcW w:w="1134" w:type="dxa"/>
          </w:tcPr>
          <w:p w:rsidR="00A266E4" w:rsidRPr="00CD2781" w:rsidRDefault="00A266E4" w:rsidP="00CD2781">
            <w:pPr>
              <w:jc w:val="center"/>
              <w:rPr>
                <w:rFonts w:ascii="Tahoma" w:hAnsi="Tahoma" w:cs="Tahoma"/>
                <w:b/>
                <w:bCs/>
                <w:i/>
                <w:iCs/>
                <w:sz w:val="20"/>
                <w:szCs w:val="20"/>
              </w:rPr>
            </w:pPr>
            <w:r w:rsidRPr="00CD2781">
              <w:rPr>
                <w:rFonts w:ascii="Tahoma" w:hAnsi="Tahoma" w:cs="Tahoma"/>
                <w:b/>
                <w:bCs/>
                <w:i/>
                <w:iCs/>
                <w:sz w:val="20"/>
                <w:szCs w:val="20"/>
              </w:rPr>
              <w:t>D</w:t>
            </w:r>
          </w:p>
        </w:tc>
      </w:tr>
      <w:tr w:rsidR="00A266E4" w:rsidRPr="00CD2781" w:rsidTr="00E70F61">
        <w:tc>
          <w:tcPr>
            <w:tcW w:w="2410"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Diámetro Superior</w:t>
            </w:r>
          </w:p>
        </w:tc>
        <w:tc>
          <w:tcPr>
            <w:tcW w:w="1559"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65.0</w:t>
            </w:r>
          </w:p>
        </w:tc>
        <w:tc>
          <w:tcPr>
            <w:tcW w:w="1134"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65.0</w:t>
            </w:r>
          </w:p>
        </w:tc>
        <w:tc>
          <w:tcPr>
            <w:tcW w:w="1418"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65.3</w:t>
            </w:r>
          </w:p>
        </w:tc>
        <w:tc>
          <w:tcPr>
            <w:tcW w:w="1134"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65.0</w:t>
            </w:r>
          </w:p>
        </w:tc>
      </w:tr>
      <w:tr w:rsidR="00A266E4" w:rsidRPr="00CD2781" w:rsidTr="00E70F61">
        <w:tc>
          <w:tcPr>
            <w:tcW w:w="2410"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Diámetro inferior</w:t>
            </w:r>
          </w:p>
        </w:tc>
        <w:tc>
          <w:tcPr>
            <w:tcW w:w="1559"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55.5</w:t>
            </w:r>
          </w:p>
        </w:tc>
        <w:tc>
          <w:tcPr>
            <w:tcW w:w="1134"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55.2</w:t>
            </w:r>
          </w:p>
        </w:tc>
        <w:tc>
          <w:tcPr>
            <w:tcW w:w="1418"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55.2</w:t>
            </w:r>
          </w:p>
        </w:tc>
        <w:tc>
          <w:tcPr>
            <w:tcW w:w="1134"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55.4</w:t>
            </w:r>
          </w:p>
        </w:tc>
      </w:tr>
      <w:tr w:rsidR="00A266E4" w:rsidRPr="00CD2781" w:rsidTr="00E70F61">
        <w:tc>
          <w:tcPr>
            <w:tcW w:w="2410"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Altura</w:t>
            </w:r>
          </w:p>
        </w:tc>
        <w:tc>
          <w:tcPr>
            <w:tcW w:w="1559"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9.5</w:t>
            </w:r>
          </w:p>
        </w:tc>
        <w:tc>
          <w:tcPr>
            <w:tcW w:w="1134"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9.4</w:t>
            </w:r>
          </w:p>
        </w:tc>
        <w:tc>
          <w:tcPr>
            <w:tcW w:w="1418"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9.3</w:t>
            </w:r>
          </w:p>
        </w:tc>
        <w:tc>
          <w:tcPr>
            <w:tcW w:w="1134"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9.2</w:t>
            </w:r>
          </w:p>
        </w:tc>
      </w:tr>
      <w:tr w:rsidR="00A266E4" w:rsidRPr="00CD2781" w:rsidTr="00E70F61">
        <w:tc>
          <w:tcPr>
            <w:tcW w:w="2410"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Peso</w:t>
            </w:r>
          </w:p>
        </w:tc>
        <w:tc>
          <w:tcPr>
            <w:tcW w:w="1559"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25.8</w:t>
            </w:r>
          </w:p>
        </w:tc>
        <w:tc>
          <w:tcPr>
            <w:tcW w:w="1134"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25.5</w:t>
            </w:r>
          </w:p>
        </w:tc>
        <w:tc>
          <w:tcPr>
            <w:tcW w:w="1418"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25.2</w:t>
            </w:r>
          </w:p>
        </w:tc>
        <w:tc>
          <w:tcPr>
            <w:tcW w:w="1134"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30.5</w:t>
            </w:r>
          </w:p>
        </w:tc>
      </w:tr>
      <w:tr w:rsidR="00A266E4" w:rsidRPr="00CD2781" w:rsidTr="00E70F61">
        <w:tc>
          <w:tcPr>
            <w:tcW w:w="2410"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Resistencia carga puntual</w:t>
            </w:r>
          </w:p>
        </w:tc>
        <w:tc>
          <w:tcPr>
            <w:tcW w:w="1559"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58.6</w:t>
            </w:r>
          </w:p>
        </w:tc>
        <w:tc>
          <w:tcPr>
            <w:tcW w:w="1134"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62.5</w:t>
            </w:r>
          </w:p>
        </w:tc>
        <w:tc>
          <w:tcPr>
            <w:tcW w:w="1418"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92.5</w:t>
            </w:r>
          </w:p>
        </w:tc>
        <w:tc>
          <w:tcPr>
            <w:tcW w:w="1134"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63.0</w:t>
            </w:r>
          </w:p>
        </w:tc>
      </w:tr>
      <w:tr w:rsidR="00A266E4" w:rsidRPr="00CD2781" w:rsidTr="00E70F61">
        <w:tc>
          <w:tcPr>
            <w:tcW w:w="2410"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lastRenderedPageBreak/>
              <w:t>Carga de rotura</w:t>
            </w:r>
          </w:p>
        </w:tc>
        <w:tc>
          <w:tcPr>
            <w:tcW w:w="1559"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58.6</w:t>
            </w:r>
          </w:p>
        </w:tc>
        <w:tc>
          <w:tcPr>
            <w:tcW w:w="1134"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62.5</w:t>
            </w:r>
          </w:p>
        </w:tc>
        <w:tc>
          <w:tcPr>
            <w:tcW w:w="1418"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92.5</w:t>
            </w:r>
          </w:p>
        </w:tc>
        <w:tc>
          <w:tcPr>
            <w:tcW w:w="1134"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63.0</w:t>
            </w:r>
          </w:p>
        </w:tc>
      </w:tr>
    </w:tbl>
    <w:p w:rsidR="00A266E4" w:rsidRPr="00CD2781" w:rsidRDefault="00A266E4" w:rsidP="00A266E4">
      <w:pPr>
        <w:ind w:left="540"/>
        <w:jc w:val="both"/>
        <w:rPr>
          <w:rFonts w:ascii="Tahoma" w:hAnsi="Tahoma" w:cs="Tahoma"/>
          <w:b/>
          <w:bCs/>
          <w:i/>
          <w:iCs/>
          <w:sz w:val="20"/>
          <w:szCs w:val="20"/>
        </w:rPr>
      </w:pPr>
    </w:p>
    <w:p w:rsidR="00A266E4" w:rsidRPr="00CD2781" w:rsidRDefault="00A266E4" w:rsidP="00A266E4">
      <w:pPr>
        <w:ind w:left="540"/>
        <w:jc w:val="both"/>
        <w:rPr>
          <w:rFonts w:ascii="Tahoma" w:hAnsi="Tahoma" w:cs="Tahoma"/>
          <w:b/>
          <w:bCs/>
          <w:sz w:val="20"/>
          <w:szCs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5"/>
        <w:gridCol w:w="1577"/>
        <w:gridCol w:w="1577"/>
        <w:gridCol w:w="1577"/>
        <w:gridCol w:w="2006"/>
      </w:tblGrid>
      <w:tr w:rsidR="00A266E4" w:rsidRPr="00CD2781" w:rsidTr="00E70F61">
        <w:trPr>
          <w:trHeight w:val="310"/>
        </w:trPr>
        <w:tc>
          <w:tcPr>
            <w:tcW w:w="243" w:type="dxa"/>
            <w:vMerge w:val="restart"/>
          </w:tcPr>
          <w:p w:rsidR="00A266E4" w:rsidRPr="00CD2781" w:rsidRDefault="00A266E4" w:rsidP="00CD2781">
            <w:pPr>
              <w:jc w:val="both"/>
              <w:rPr>
                <w:rFonts w:ascii="Tahoma" w:hAnsi="Tahoma" w:cs="Tahoma"/>
                <w:b/>
                <w:bCs/>
                <w:sz w:val="20"/>
                <w:szCs w:val="20"/>
              </w:rPr>
            </w:pPr>
            <w:r w:rsidRPr="00CD2781">
              <w:rPr>
                <w:rFonts w:ascii="Tahoma" w:hAnsi="Tahoma" w:cs="Tahoma"/>
                <w:b/>
                <w:bCs/>
                <w:sz w:val="20"/>
                <w:szCs w:val="20"/>
              </w:rPr>
              <w:t>MARCO</w:t>
            </w:r>
          </w:p>
        </w:tc>
        <w:tc>
          <w:tcPr>
            <w:tcW w:w="7412" w:type="dxa"/>
            <w:gridSpan w:val="4"/>
          </w:tcPr>
          <w:p w:rsidR="00A266E4" w:rsidRPr="00CD2781" w:rsidRDefault="00A266E4" w:rsidP="00CD2781">
            <w:pPr>
              <w:jc w:val="center"/>
              <w:rPr>
                <w:rFonts w:ascii="Tahoma" w:hAnsi="Tahoma" w:cs="Tahoma"/>
                <w:b/>
                <w:bCs/>
                <w:i/>
                <w:iCs/>
                <w:sz w:val="20"/>
                <w:szCs w:val="20"/>
              </w:rPr>
            </w:pPr>
            <w:r w:rsidRPr="00CD2781">
              <w:rPr>
                <w:rFonts w:ascii="Tahoma" w:hAnsi="Tahoma" w:cs="Tahoma"/>
                <w:b/>
                <w:bCs/>
                <w:i/>
                <w:iCs/>
                <w:sz w:val="20"/>
                <w:szCs w:val="20"/>
              </w:rPr>
              <w:t>Circular, plana, con borde tronco –cónico. Cara inferior llana, sin nervaduras</w:t>
            </w:r>
          </w:p>
        </w:tc>
      </w:tr>
      <w:tr w:rsidR="00A266E4" w:rsidRPr="00CD2781" w:rsidTr="00E70F61">
        <w:trPr>
          <w:trHeight w:val="230"/>
        </w:trPr>
        <w:tc>
          <w:tcPr>
            <w:tcW w:w="243" w:type="dxa"/>
            <w:vMerge/>
          </w:tcPr>
          <w:p w:rsidR="00A266E4" w:rsidRPr="00CD2781" w:rsidRDefault="00A266E4" w:rsidP="00CD2781">
            <w:pPr>
              <w:jc w:val="both"/>
              <w:rPr>
                <w:rFonts w:ascii="Tahoma" w:hAnsi="Tahoma" w:cs="Tahoma"/>
                <w:b/>
                <w:bCs/>
                <w:sz w:val="20"/>
                <w:szCs w:val="20"/>
              </w:rPr>
            </w:pPr>
          </w:p>
        </w:tc>
        <w:tc>
          <w:tcPr>
            <w:tcW w:w="1729" w:type="dxa"/>
          </w:tcPr>
          <w:p w:rsidR="00A266E4" w:rsidRPr="00CD2781" w:rsidRDefault="00A266E4" w:rsidP="00CD2781">
            <w:pPr>
              <w:jc w:val="center"/>
              <w:rPr>
                <w:rFonts w:ascii="Tahoma" w:hAnsi="Tahoma" w:cs="Tahoma"/>
                <w:b/>
                <w:bCs/>
                <w:i/>
                <w:iCs/>
                <w:sz w:val="20"/>
                <w:szCs w:val="20"/>
              </w:rPr>
            </w:pPr>
            <w:r w:rsidRPr="00CD2781">
              <w:rPr>
                <w:rFonts w:ascii="Tahoma" w:hAnsi="Tahoma" w:cs="Tahoma"/>
                <w:b/>
                <w:bCs/>
                <w:i/>
                <w:iCs/>
                <w:sz w:val="20"/>
                <w:szCs w:val="20"/>
              </w:rPr>
              <w:t>A</w:t>
            </w:r>
          </w:p>
        </w:tc>
        <w:tc>
          <w:tcPr>
            <w:tcW w:w="1729" w:type="dxa"/>
          </w:tcPr>
          <w:p w:rsidR="00A266E4" w:rsidRPr="00CD2781" w:rsidRDefault="00A266E4" w:rsidP="00CD2781">
            <w:pPr>
              <w:jc w:val="center"/>
              <w:rPr>
                <w:rFonts w:ascii="Tahoma" w:hAnsi="Tahoma" w:cs="Tahoma"/>
                <w:b/>
                <w:bCs/>
                <w:i/>
                <w:iCs/>
                <w:sz w:val="20"/>
                <w:szCs w:val="20"/>
              </w:rPr>
            </w:pPr>
            <w:r w:rsidRPr="00CD2781">
              <w:rPr>
                <w:rFonts w:ascii="Tahoma" w:hAnsi="Tahoma" w:cs="Tahoma"/>
                <w:b/>
                <w:bCs/>
                <w:i/>
                <w:iCs/>
                <w:sz w:val="20"/>
                <w:szCs w:val="20"/>
              </w:rPr>
              <w:t>B</w:t>
            </w:r>
          </w:p>
        </w:tc>
        <w:tc>
          <w:tcPr>
            <w:tcW w:w="1729" w:type="dxa"/>
          </w:tcPr>
          <w:p w:rsidR="00A266E4" w:rsidRPr="00CD2781" w:rsidRDefault="00A266E4" w:rsidP="00CD2781">
            <w:pPr>
              <w:jc w:val="center"/>
              <w:rPr>
                <w:rFonts w:ascii="Tahoma" w:hAnsi="Tahoma" w:cs="Tahoma"/>
                <w:b/>
                <w:bCs/>
                <w:i/>
                <w:iCs/>
                <w:sz w:val="20"/>
                <w:szCs w:val="20"/>
              </w:rPr>
            </w:pPr>
            <w:r w:rsidRPr="00CD2781">
              <w:rPr>
                <w:rFonts w:ascii="Tahoma" w:hAnsi="Tahoma" w:cs="Tahoma"/>
                <w:b/>
                <w:bCs/>
                <w:i/>
                <w:iCs/>
                <w:sz w:val="20"/>
                <w:szCs w:val="20"/>
              </w:rPr>
              <w:t>C</w:t>
            </w:r>
          </w:p>
        </w:tc>
        <w:tc>
          <w:tcPr>
            <w:tcW w:w="2225" w:type="dxa"/>
          </w:tcPr>
          <w:p w:rsidR="00A266E4" w:rsidRPr="00CD2781" w:rsidRDefault="00A266E4" w:rsidP="00CD2781">
            <w:pPr>
              <w:jc w:val="center"/>
              <w:rPr>
                <w:rFonts w:ascii="Tahoma" w:hAnsi="Tahoma" w:cs="Tahoma"/>
                <w:b/>
                <w:bCs/>
                <w:i/>
                <w:iCs/>
                <w:sz w:val="20"/>
                <w:szCs w:val="20"/>
              </w:rPr>
            </w:pPr>
            <w:r w:rsidRPr="00CD2781">
              <w:rPr>
                <w:rFonts w:ascii="Tahoma" w:hAnsi="Tahoma" w:cs="Tahoma"/>
                <w:b/>
                <w:bCs/>
                <w:i/>
                <w:iCs/>
                <w:sz w:val="20"/>
                <w:szCs w:val="20"/>
              </w:rPr>
              <w:t>D</w:t>
            </w:r>
          </w:p>
        </w:tc>
      </w:tr>
      <w:tr w:rsidR="00A266E4" w:rsidRPr="00CD2781" w:rsidTr="00E70F61">
        <w:tc>
          <w:tcPr>
            <w:tcW w:w="243"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Diámetro Superior</w:t>
            </w:r>
          </w:p>
        </w:tc>
        <w:tc>
          <w:tcPr>
            <w:tcW w:w="1729"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75.5</w:t>
            </w:r>
          </w:p>
        </w:tc>
        <w:tc>
          <w:tcPr>
            <w:tcW w:w="1729"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75.6</w:t>
            </w:r>
          </w:p>
        </w:tc>
        <w:tc>
          <w:tcPr>
            <w:tcW w:w="1729"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75.6</w:t>
            </w:r>
          </w:p>
        </w:tc>
        <w:tc>
          <w:tcPr>
            <w:tcW w:w="2225"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75.4</w:t>
            </w:r>
          </w:p>
        </w:tc>
      </w:tr>
      <w:tr w:rsidR="00A266E4" w:rsidRPr="00CD2781" w:rsidTr="00E70F61">
        <w:trPr>
          <w:trHeight w:val="580"/>
        </w:trPr>
        <w:tc>
          <w:tcPr>
            <w:tcW w:w="243"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Diámetro Superior Media</w:t>
            </w:r>
          </w:p>
        </w:tc>
        <w:tc>
          <w:tcPr>
            <w:tcW w:w="1729"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66.2</w:t>
            </w:r>
          </w:p>
        </w:tc>
        <w:tc>
          <w:tcPr>
            <w:tcW w:w="1729"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66.5</w:t>
            </w:r>
          </w:p>
        </w:tc>
        <w:tc>
          <w:tcPr>
            <w:tcW w:w="1729"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66.5</w:t>
            </w:r>
          </w:p>
        </w:tc>
        <w:tc>
          <w:tcPr>
            <w:tcW w:w="2225"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66.3</w:t>
            </w:r>
          </w:p>
        </w:tc>
      </w:tr>
      <w:tr w:rsidR="00A266E4" w:rsidRPr="00CD2781" w:rsidTr="00E70F61">
        <w:trPr>
          <w:trHeight w:val="400"/>
        </w:trPr>
        <w:tc>
          <w:tcPr>
            <w:tcW w:w="243"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Diámetro inferior de acceso</w:t>
            </w:r>
          </w:p>
        </w:tc>
        <w:tc>
          <w:tcPr>
            <w:tcW w:w="1729"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53.0</w:t>
            </w:r>
          </w:p>
        </w:tc>
        <w:tc>
          <w:tcPr>
            <w:tcW w:w="1729"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53.3</w:t>
            </w:r>
          </w:p>
        </w:tc>
        <w:tc>
          <w:tcPr>
            <w:tcW w:w="1729"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53.0</w:t>
            </w:r>
          </w:p>
        </w:tc>
        <w:tc>
          <w:tcPr>
            <w:tcW w:w="2225"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53.1</w:t>
            </w:r>
          </w:p>
        </w:tc>
      </w:tr>
      <w:tr w:rsidR="00A266E4" w:rsidRPr="00CD2781" w:rsidTr="00E70F61">
        <w:tc>
          <w:tcPr>
            <w:tcW w:w="243"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Diámetro exterior base</w:t>
            </w:r>
          </w:p>
        </w:tc>
        <w:tc>
          <w:tcPr>
            <w:tcW w:w="1729"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82.5</w:t>
            </w:r>
          </w:p>
        </w:tc>
        <w:tc>
          <w:tcPr>
            <w:tcW w:w="1729"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83.2</w:t>
            </w:r>
          </w:p>
        </w:tc>
        <w:tc>
          <w:tcPr>
            <w:tcW w:w="1729"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83.0</w:t>
            </w:r>
          </w:p>
        </w:tc>
        <w:tc>
          <w:tcPr>
            <w:tcW w:w="2225"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82.7</w:t>
            </w:r>
          </w:p>
        </w:tc>
      </w:tr>
      <w:tr w:rsidR="00A266E4" w:rsidRPr="00CD2781" w:rsidTr="00E70F61">
        <w:tc>
          <w:tcPr>
            <w:tcW w:w="243"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Altura</w:t>
            </w:r>
          </w:p>
        </w:tc>
        <w:tc>
          <w:tcPr>
            <w:tcW w:w="1729"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11.6</w:t>
            </w:r>
          </w:p>
        </w:tc>
        <w:tc>
          <w:tcPr>
            <w:tcW w:w="1729"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11.0</w:t>
            </w:r>
          </w:p>
        </w:tc>
        <w:tc>
          <w:tcPr>
            <w:tcW w:w="1729"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11.1</w:t>
            </w:r>
          </w:p>
        </w:tc>
        <w:tc>
          <w:tcPr>
            <w:tcW w:w="2225"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11.0</w:t>
            </w:r>
          </w:p>
        </w:tc>
      </w:tr>
      <w:tr w:rsidR="00A266E4" w:rsidRPr="00CD2781" w:rsidTr="00E70F61">
        <w:trPr>
          <w:trHeight w:val="170"/>
        </w:trPr>
        <w:tc>
          <w:tcPr>
            <w:tcW w:w="243"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Peso</w:t>
            </w:r>
          </w:p>
        </w:tc>
        <w:tc>
          <w:tcPr>
            <w:tcW w:w="1729"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13.7</w:t>
            </w:r>
          </w:p>
        </w:tc>
        <w:tc>
          <w:tcPr>
            <w:tcW w:w="1729"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17.0</w:t>
            </w:r>
          </w:p>
        </w:tc>
        <w:tc>
          <w:tcPr>
            <w:tcW w:w="1729"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18.1</w:t>
            </w:r>
          </w:p>
        </w:tc>
        <w:tc>
          <w:tcPr>
            <w:tcW w:w="2225"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16.1</w:t>
            </w:r>
          </w:p>
        </w:tc>
      </w:tr>
      <w:tr w:rsidR="00A266E4" w:rsidRPr="00CD2781" w:rsidTr="00E70F61">
        <w:trPr>
          <w:trHeight w:val="400"/>
        </w:trPr>
        <w:tc>
          <w:tcPr>
            <w:tcW w:w="243"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Peso de perno, tuerca y arandela</w:t>
            </w:r>
          </w:p>
        </w:tc>
        <w:tc>
          <w:tcPr>
            <w:tcW w:w="1729"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106</w:t>
            </w:r>
          </w:p>
        </w:tc>
        <w:tc>
          <w:tcPr>
            <w:tcW w:w="1729"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106</w:t>
            </w:r>
          </w:p>
        </w:tc>
        <w:tc>
          <w:tcPr>
            <w:tcW w:w="1729"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106</w:t>
            </w:r>
          </w:p>
        </w:tc>
        <w:tc>
          <w:tcPr>
            <w:tcW w:w="2225" w:type="dxa"/>
          </w:tcPr>
          <w:p w:rsidR="00A266E4" w:rsidRPr="00CD2781" w:rsidRDefault="00A266E4" w:rsidP="00CD2781">
            <w:pPr>
              <w:jc w:val="both"/>
              <w:rPr>
                <w:rFonts w:ascii="Tahoma" w:hAnsi="Tahoma" w:cs="Tahoma"/>
                <w:i/>
                <w:iCs/>
                <w:sz w:val="20"/>
                <w:szCs w:val="20"/>
              </w:rPr>
            </w:pPr>
            <w:r w:rsidRPr="00CD2781">
              <w:rPr>
                <w:rFonts w:ascii="Tahoma" w:hAnsi="Tahoma" w:cs="Tahoma"/>
                <w:i/>
                <w:iCs/>
                <w:sz w:val="20"/>
                <w:szCs w:val="20"/>
              </w:rPr>
              <w:t>106</w:t>
            </w:r>
          </w:p>
        </w:tc>
      </w:tr>
    </w:tbl>
    <w:p w:rsidR="00A266E4" w:rsidRPr="00CD2781" w:rsidRDefault="00A266E4" w:rsidP="00A266E4">
      <w:pPr>
        <w:ind w:left="540"/>
        <w:jc w:val="both"/>
        <w:rPr>
          <w:rFonts w:ascii="Tahoma" w:hAnsi="Tahoma" w:cs="Tahoma"/>
          <w:b/>
          <w:bCs/>
          <w:sz w:val="20"/>
          <w:szCs w:val="20"/>
        </w:rPr>
      </w:pPr>
    </w:p>
    <w:p w:rsidR="00A266E4" w:rsidRPr="00CD2781" w:rsidRDefault="00A266E4" w:rsidP="00E70F61">
      <w:pPr>
        <w:spacing w:line="240" w:lineRule="auto"/>
        <w:ind w:left="540"/>
        <w:jc w:val="both"/>
        <w:rPr>
          <w:rFonts w:ascii="Tahoma" w:hAnsi="Tahoma" w:cs="Tahoma"/>
          <w:b/>
          <w:bCs/>
          <w:sz w:val="20"/>
          <w:szCs w:val="20"/>
        </w:rPr>
      </w:pPr>
      <w:r w:rsidRPr="00CD2781">
        <w:rPr>
          <w:rFonts w:ascii="Tahoma" w:hAnsi="Tahoma" w:cs="Tahoma"/>
          <w:b/>
          <w:bCs/>
          <w:sz w:val="20"/>
          <w:szCs w:val="20"/>
        </w:rPr>
        <w:t>Procedimiento de Ensayo</w:t>
      </w:r>
    </w:p>
    <w:p w:rsidR="00A266E4" w:rsidRPr="00CD2781" w:rsidRDefault="00A266E4" w:rsidP="00E70F61">
      <w:pPr>
        <w:spacing w:line="240" w:lineRule="auto"/>
        <w:ind w:left="540"/>
        <w:jc w:val="both"/>
        <w:rPr>
          <w:rFonts w:ascii="Tahoma" w:hAnsi="Tahoma" w:cs="Tahoma"/>
          <w:sz w:val="20"/>
          <w:szCs w:val="20"/>
        </w:rPr>
      </w:pPr>
      <w:r w:rsidRPr="00CD2781">
        <w:rPr>
          <w:rFonts w:ascii="Tahoma" w:hAnsi="Tahoma" w:cs="Tahoma"/>
          <w:sz w:val="20"/>
          <w:szCs w:val="20"/>
        </w:rPr>
        <w:t>Para el ensayo, la tapa con el marco y los accesorios de aplicación de carga se colocaron centrados en el eje actuador y celda de carga.</w:t>
      </w:r>
    </w:p>
    <w:p w:rsidR="00A266E4" w:rsidRPr="00CD2781" w:rsidRDefault="00A266E4" w:rsidP="00E70F61">
      <w:pPr>
        <w:spacing w:line="240" w:lineRule="auto"/>
        <w:ind w:left="540"/>
        <w:jc w:val="both"/>
        <w:rPr>
          <w:rFonts w:ascii="Tahoma" w:hAnsi="Tahoma" w:cs="Tahoma"/>
          <w:sz w:val="20"/>
          <w:szCs w:val="20"/>
        </w:rPr>
      </w:pPr>
      <w:r w:rsidRPr="00CD2781">
        <w:rPr>
          <w:rFonts w:ascii="Tahoma" w:hAnsi="Tahoma" w:cs="Tahoma"/>
          <w:sz w:val="20"/>
          <w:szCs w:val="20"/>
        </w:rPr>
        <w:t>En todos los casos se aplicó carga gradualmente de acuerdo a la norma de la referencia , primero par ver si soportaba  120KN, lo que no fue posible debido a que colapasaron antes. Las Cargas resultantes se muestran en el recuadro de las medidas de las tapas.</w:t>
      </w:r>
    </w:p>
    <w:p w:rsidR="00A266E4" w:rsidRPr="00CD2781" w:rsidRDefault="00A266E4" w:rsidP="00A266E4">
      <w:pPr>
        <w:ind w:left="540"/>
        <w:jc w:val="both"/>
        <w:rPr>
          <w:rFonts w:ascii="Tahoma" w:hAnsi="Tahoma" w:cs="Tahoma"/>
          <w:b/>
          <w:bCs/>
          <w:i/>
          <w:iCs/>
          <w:sz w:val="20"/>
          <w:szCs w:val="20"/>
          <w:u w:val="single"/>
        </w:rPr>
      </w:pPr>
      <w:r w:rsidRPr="00CD2781">
        <w:rPr>
          <w:rFonts w:ascii="Tahoma" w:hAnsi="Tahoma" w:cs="Tahoma"/>
          <w:b/>
          <w:bCs/>
          <w:i/>
          <w:iCs/>
          <w:sz w:val="20"/>
          <w:szCs w:val="20"/>
          <w:u w:val="single"/>
        </w:rPr>
        <w:lastRenderedPageBreak/>
        <w:t>Informe Nº 066-10 de fecha 25 de febrero de 2010 “Mediciones y Ensayo de Resistencia al tránsito Tapa y Marco de Polietileno reciclado” N.T.P. 339.111</w:t>
      </w:r>
    </w:p>
    <w:p w:rsidR="00A266E4" w:rsidRPr="00CD2781" w:rsidRDefault="00A266E4" w:rsidP="00A266E4">
      <w:pPr>
        <w:ind w:left="540"/>
        <w:jc w:val="both"/>
        <w:rPr>
          <w:rFonts w:ascii="Tahoma" w:hAnsi="Tahoma" w:cs="Tahoma"/>
          <w:b/>
          <w:bCs/>
          <w:i/>
          <w:iCs/>
          <w:sz w:val="20"/>
          <w:szCs w:val="20"/>
        </w:rPr>
      </w:pPr>
    </w:p>
    <w:tbl>
      <w:tblPr>
        <w:tblW w:w="779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7"/>
        <w:gridCol w:w="1556"/>
        <w:gridCol w:w="1556"/>
        <w:gridCol w:w="1556"/>
        <w:gridCol w:w="1932"/>
      </w:tblGrid>
      <w:tr w:rsidR="00A266E4" w:rsidRPr="00CD2781" w:rsidTr="00E70F61">
        <w:trPr>
          <w:trHeight w:val="310"/>
        </w:trPr>
        <w:tc>
          <w:tcPr>
            <w:tcW w:w="416" w:type="dxa"/>
            <w:vMerge w:val="restart"/>
            <w:vAlign w:val="center"/>
          </w:tcPr>
          <w:p w:rsidR="00A266E4" w:rsidRPr="00CD2781" w:rsidRDefault="00A266E4" w:rsidP="00CD2781">
            <w:pPr>
              <w:jc w:val="center"/>
              <w:rPr>
                <w:rFonts w:ascii="Tahoma" w:hAnsi="Tahoma" w:cs="Tahoma"/>
                <w:b/>
                <w:bCs/>
                <w:sz w:val="20"/>
                <w:szCs w:val="20"/>
              </w:rPr>
            </w:pPr>
            <w:r w:rsidRPr="00CD2781">
              <w:rPr>
                <w:rFonts w:ascii="Tahoma" w:hAnsi="Tahoma" w:cs="Tahoma"/>
                <w:b/>
                <w:bCs/>
                <w:sz w:val="20"/>
                <w:szCs w:val="20"/>
              </w:rPr>
              <w:t>TAPA</w:t>
            </w:r>
          </w:p>
        </w:tc>
        <w:tc>
          <w:tcPr>
            <w:tcW w:w="7381" w:type="dxa"/>
            <w:gridSpan w:val="4"/>
            <w:vAlign w:val="center"/>
          </w:tcPr>
          <w:p w:rsidR="00A266E4" w:rsidRPr="00CD2781" w:rsidRDefault="00A266E4" w:rsidP="00CD2781">
            <w:pPr>
              <w:jc w:val="center"/>
              <w:rPr>
                <w:rFonts w:ascii="Tahoma" w:hAnsi="Tahoma" w:cs="Tahoma"/>
                <w:b/>
                <w:bCs/>
                <w:i/>
                <w:iCs/>
                <w:sz w:val="20"/>
                <w:szCs w:val="20"/>
              </w:rPr>
            </w:pPr>
            <w:r w:rsidRPr="00CD2781">
              <w:rPr>
                <w:rFonts w:ascii="Tahoma" w:hAnsi="Tahoma" w:cs="Tahoma"/>
                <w:b/>
                <w:bCs/>
                <w:i/>
                <w:iCs/>
                <w:sz w:val="20"/>
                <w:szCs w:val="20"/>
              </w:rPr>
              <w:t>Circular, plana, con borde tronco –cónico. Cara inferior llana, sin nervaduras</w:t>
            </w:r>
          </w:p>
        </w:tc>
      </w:tr>
      <w:tr w:rsidR="00A266E4" w:rsidRPr="00CD2781" w:rsidTr="00E70F61">
        <w:trPr>
          <w:trHeight w:val="230"/>
        </w:trPr>
        <w:tc>
          <w:tcPr>
            <w:tcW w:w="416" w:type="dxa"/>
            <w:vMerge/>
            <w:vAlign w:val="center"/>
          </w:tcPr>
          <w:p w:rsidR="00A266E4" w:rsidRPr="00CD2781" w:rsidRDefault="00A266E4" w:rsidP="00CD2781">
            <w:pPr>
              <w:jc w:val="center"/>
              <w:rPr>
                <w:rFonts w:ascii="Tahoma" w:hAnsi="Tahoma" w:cs="Tahoma"/>
                <w:b/>
                <w:bCs/>
                <w:sz w:val="20"/>
                <w:szCs w:val="20"/>
              </w:rPr>
            </w:pPr>
          </w:p>
        </w:tc>
        <w:tc>
          <w:tcPr>
            <w:tcW w:w="1729" w:type="dxa"/>
            <w:vAlign w:val="center"/>
          </w:tcPr>
          <w:p w:rsidR="00A266E4" w:rsidRPr="00CD2781" w:rsidRDefault="00A266E4" w:rsidP="00CD2781">
            <w:pPr>
              <w:jc w:val="center"/>
              <w:rPr>
                <w:rFonts w:ascii="Tahoma" w:hAnsi="Tahoma" w:cs="Tahoma"/>
                <w:b/>
                <w:bCs/>
                <w:i/>
                <w:iCs/>
                <w:sz w:val="20"/>
                <w:szCs w:val="20"/>
              </w:rPr>
            </w:pPr>
            <w:r w:rsidRPr="00CD2781">
              <w:rPr>
                <w:rFonts w:ascii="Tahoma" w:hAnsi="Tahoma" w:cs="Tahoma"/>
                <w:b/>
                <w:bCs/>
                <w:i/>
                <w:iCs/>
                <w:sz w:val="20"/>
                <w:szCs w:val="20"/>
              </w:rPr>
              <w:t>A</w:t>
            </w:r>
          </w:p>
        </w:tc>
        <w:tc>
          <w:tcPr>
            <w:tcW w:w="1729" w:type="dxa"/>
            <w:vAlign w:val="center"/>
          </w:tcPr>
          <w:p w:rsidR="00A266E4" w:rsidRPr="00CD2781" w:rsidRDefault="00A266E4" w:rsidP="00CD2781">
            <w:pPr>
              <w:jc w:val="center"/>
              <w:rPr>
                <w:rFonts w:ascii="Tahoma" w:hAnsi="Tahoma" w:cs="Tahoma"/>
                <w:b/>
                <w:bCs/>
                <w:i/>
                <w:iCs/>
                <w:sz w:val="20"/>
                <w:szCs w:val="20"/>
              </w:rPr>
            </w:pPr>
            <w:r w:rsidRPr="00CD2781">
              <w:rPr>
                <w:rFonts w:ascii="Tahoma" w:hAnsi="Tahoma" w:cs="Tahoma"/>
                <w:b/>
                <w:bCs/>
                <w:i/>
                <w:iCs/>
                <w:sz w:val="20"/>
                <w:szCs w:val="20"/>
              </w:rPr>
              <w:t>B</w:t>
            </w:r>
          </w:p>
        </w:tc>
        <w:tc>
          <w:tcPr>
            <w:tcW w:w="1729" w:type="dxa"/>
            <w:vAlign w:val="center"/>
          </w:tcPr>
          <w:p w:rsidR="00A266E4" w:rsidRPr="00CD2781" w:rsidRDefault="00A266E4" w:rsidP="00CD2781">
            <w:pPr>
              <w:jc w:val="center"/>
              <w:rPr>
                <w:rFonts w:ascii="Tahoma" w:hAnsi="Tahoma" w:cs="Tahoma"/>
                <w:b/>
                <w:bCs/>
                <w:i/>
                <w:iCs/>
                <w:sz w:val="20"/>
                <w:szCs w:val="20"/>
              </w:rPr>
            </w:pPr>
            <w:r w:rsidRPr="00CD2781">
              <w:rPr>
                <w:rFonts w:ascii="Tahoma" w:hAnsi="Tahoma" w:cs="Tahoma"/>
                <w:b/>
                <w:bCs/>
                <w:i/>
                <w:iCs/>
                <w:sz w:val="20"/>
                <w:szCs w:val="20"/>
              </w:rPr>
              <w:t>C</w:t>
            </w:r>
          </w:p>
        </w:tc>
        <w:tc>
          <w:tcPr>
            <w:tcW w:w="2194" w:type="dxa"/>
            <w:vAlign w:val="center"/>
          </w:tcPr>
          <w:p w:rsidR="00A266E4" w:rsidRPr="00CD2781" w:rsidRDefault="00A266E4" w:rsidP="00CD2781">
            <w:pPr>
              <w:jc w:val="center"/>
              <w:rPr>
                <w:rFonts w:ascii="Tahoma" w:hAnsi="Tahoma" w:cs="Tahoma"/>
                <w:b/>
                <w:bCs/>
                <w:i/>
                <w:iCs/>
                <w:sz w:val="20"/>
                <w:szCs w:val="20"/>
              </w:rPr>
            </w:pPr>
            <w:r w:rsidRPr="00CD2781">
              <w:rPr>
                <w:rFonts w:ascii="Tahoma" w:hAnsi="Tahoma" w:cs="Tahoma"/>
                <w:b/>
                <w:bCs/>
                <w:i/>
                <w:iCs/>
                <w:sz w:val="20"/>
                <w:szCs w:val="20"/>
              </w:rPr>
              <w:t>D</w:t>
            </w:r>
          </w:p>
        </w:tc>
      </w:tr>
      <w:tr w:rsidR="00A266E4" w:rsidRPr="00CD2781" w:rsidTr="00E70F61">
        <w:tc>
          <w:tcPr>
            <w:tcW w:w="416"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Diámetro Superior</w:t>
            </w:r>
          </w:p>
        </w:tc>
        <w:tc>
          <w:tcPr>
            <w:tcW w:w="1729"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64.8</w:t>
            </w:r>
          </w:p>
        </w:tc>
        <w:tc>
          <w:tcPr>
            <w:tcW w:w="1729"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65.2</w:t>
            </w:r>
          </w:p>
        </w:tc>
        <w:tc>
          <w:tcPr>
            <w:tcW w:w="1729"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65.0</w:t>
            </w:r>
          </w:p>
        </w:tc>
        <w:tc>
          <w:tcPr>
            <w:tcW w:w="2194"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65.2</w:t>
            </w:r>
          </w:p>
        </w:tc>
      </w:tr>
      <w:tr w:rsidR="00A266E4" w:rsidRPr="00CD2781" w:rsidTr="00E70F61">
        <w:tc>
          <w:tcPr>
            <w:tcW w:w="416"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Diámetro inferior</w:t>
            </w:r>
          </w:p>
        </w:tc>
        <w:tc>
          <w:tcPr>
            <w:tcW w:w="1729"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55.0</w:t>
            </w:r>
          </w:p>
        </w:tc>
        <w:tc>
          <w:tcPr>
            <w:tcW w:w="1729"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55.2</w:t>
            </w:r>
          </w:p>
        </w:tc>
        <w:tc>
          <w:tcPr>
            <w:tcW w:w="1729"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54.8</w:t>
            </w:r>
          </w:p>
        </w:tc>
        <w:tc>
          <w:tcPr>
            <w:tcW w:w="2194"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55.2</w:t>
            </w:r>
          </w:p>
        </w:tc>
      </w:tr>
      <w:tr w:rsidR="00A266E4" w:rsidRPr="00CD2781" w:rsidTr="00E70F61">
        <w:tc>
          <w:tcPr>
            <w:tcW w:w="416"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Altura</w:t>
            </w:r>
          </w:p>
        </w:tc>
        <w:tc>
          <w:tcPr>
            <w:tcW w:w="1729"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9.6</w:t>
            </w:r>
          </w:p>
        </w:tc>
        <w:tc>
          <w:tcPr>
            <w:tcW w:w="1729"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9.4</w:t>
            </w:r>
          </w:p>
        </w:tc>
        <w:tc>
          <w:tcPr>
            <w:tcW w:w="1729"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9.30</w:t>
            </w:r>
          </w:p>
        </w:tc>
        <w:tc>
          <w:tcPr>
            <w:tcW w:w="2194"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9.4</w:t>
            </w:r>
          </w:p>
        </w:tc>
      </w:tr>
      <w:tr w:rsidR="00A266E4" w:rsidRPr="00CD2781" w:rsidTr="00E70F61">
        <w:tc>
          <w:tcPr>
            <w:tcW w:w="416"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Peso</w:t>
            </w:r>
          </w:p>
        </w:tc>
        <w:tc>
          <w:tcPr>
            <w:tcW w:w="1729"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25.7</w:t>
            </w:r>
          </w:p>
        </w:tc>
        <w:tc>
          <w:tcPr>
            <w:tcW w:w="1729"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25.8</w:t>
            </w:r>
          </w:p>
        </w:tc>
        <w:tc>
          <w:tcPr>
            <w:tcW w:w="1729"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24.60</w:t>
            </w:r>
          </w:p>
        </w:tc>
        <w:tc>
          <w:tcPr>
            <w:tcW w:w="2194"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25.7</w:t>
            </w:r>
          </w:p>
        </w:tc>
      </w:tr>
      <w:tr w:rsidR="00A266E4" w:rsidRPr="00CD2781" w:rsidTr="00E70F61">
        <w:tc>
          <w:tcPr>
            <w:tcW w:w="416"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Resistencia carga puntual</w:t>
            </w:r>
          </w:p>
        </w:tc>
        <w:tc>
          <w:tcPr>
            <w:tcW w:w="1729"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76.200</w:t>
            </w:r>
          </w:p>
        </w:tc>
        <w:tc>
          <w:tcPr>
            <w:tcW w:w="1729"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68.169</w:t>
            </w:r>
          </w:p>
        </w:tc>
        <w:tc>
          <w:tcPr>
            <w:tcW w:w="1729"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67.070</w:t>
            </w:r>
          </w:p>
        </w:tc>
        <w:tc>
          <w:tcPr>
            <w:tcW w:w="2194"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92.461</w:t>
            </w:r>
          </w:p>
        </w:tc>
      </w:tr>
      <w:tr w:rsidR="00A266E4" w:rsidRPr="00CD2781" w:rsidTr="00E70F61">
        <w:tc>
          <w:tcPr>
            <w:tcW w:w="416"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Carga de rotura</w:t>
            </w:r>
          </w:p>
        </w:tc>
        <w:tc>
          <w:tcPr>
            <w:tcW w:w="1729"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76.200</w:t>
            </w:r>
          </w:p>
        </w:tc>
        <w:tc>
          <w:tcPr>
            <w:tcW w:w="1729"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68.169</w:t>
            </w:r>
          </w:p>
        </w:tc>
        <w:tc>
          <w:tcPr>
            <w:tcW w:w="1729"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67.070</w:t>
            </w:r>
          </w:p>
        </w:tc>
        <w:tc>
          <w:tcPr>
            <w:tcW w:w="2194"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92.461</w:t>
            </w:r>
          </w:p>
        </w:tc>
      </w:tr>
    </w:tbl>
    <w:p w:rsidR="00A266E4" w:rsidRPr="00CD2781" w:rsidRDefault="00A266E4" w:rsidP="00A266E4">
      <w:pPr>
        <w:ind w:left="540"/>
        <w:jc w:val="both"/>
        <w:rPr>
          <w:rFonts w:ascii="Tahoma" w:hAnsi="Tahoma" w:cs="Tahoma"/>
          <w:b/>
          <w:bCs/>
          <w:i/>
          <w:iCs/>
          <w:sz w:val="20"/>
          <w:szCs w:val="20"/>
        </w:rPr>
      </w:pPr>
    </w:p>
    <w:p w:rsidR="00A266E4" w:rsidRPr="00CD2781" w:rsidRDefault="00A266E4" w:rsidP="00A266E4">
      <w:pPr>
        <w:ind w:left="540"/>
        <w:jc w:val="both"/>
        <w:rPr>
          <w:rFonts w:ascii="Tahoma" w:hAnsi="Tahoma" w:cs="Tahoma"/>
          <w:b/>
          <w:bCs/>
          <w:sz w:val="20"/>
          <w:szCs w:val="20"/>
        </w:rPr>
      </w:pPr>
    </w:p>
    <w:tbl>
      <w:tblPr>
        <w:tblW w:w="779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5"/>
        <w:gridCol w:w="1582"/>
        <w:gridCol w:w="1582"/>
        <w:gridCol w:w="1582"/>
        <w:gridCol w:w="2026"/>
      </w:tblGrid>
      <w:tr w:rsidR="00A266E4" w:rsidRPr="00CD2781" w:rsidTr="00E70F61">
        <w:trPr>
          <w:trHeight w:val="310"/>
        </w:trPr>
        <w:tc>
          <w:tcPr>
            <w:tcW w:w="495" w:type="dxa"/>
            <w:vMerge w:val="restart"/>
          </w:tcPr>
          <w:p w:rsidR="00A266E4" w:rsidRPr="00CD2781" w:rsidRDefault="00A266E4" w:rsidP="00CD2781">
            <w:pPr>
              <w:jc w:val="both"/>
              <w:rPr>
                <w:rFonts w:ascii="Tahoma" w:hAnsi="Tahoma" w:cs="Tahoma"/>
                <w:b/>
                <w:bCs/>
                <w:sz w:val="20"/>
                <w:szCs w:val="20"/>
              </w:rPr>
            </w:pPr>
            <w:r w:rsidRPr="00CD2781">
              <w:rPr>
                <w:rFonts w:ascii="Tahoma" w:hAnsi="Tahoma" w:cs="Tahoma"/>
                <w:b/>
                <w:bCs/>
                <w:sz w:val="20"/>
                <w:szCs w:val="20"/>
              </w:rPr>
              <w:t>MARCO</w:t>
            </w:r>
          </w:p>
        </w:tc>
        <w:tc>
          <w:tcPr>
            <w:tcW w:w="7302" w:type="dxa"/>
            <w:gridSpan w:val="4"/>
          </w:tcPr>
          <w:p w:rsidR="00A266E4" w:rsidRPr="00CD2781" w:rsidRDefault="00A266E4" w:rsidP="00CD2781">
            <w:pPr>
              <w:jc w:val="center"/>
              <w:rPr>
                <w:rFonts w:ascii="Tahoma" w:hAnsi="Tahoma" w:cs="Tahoma"/>
                <w:b/>
                <w:bCs/>
                <w:i/>
                <w:iCs/>
                <w:sz w:val="20"/>
                <w:szCs w:val="20"/>
              </w:rPr>
            </w:pPr>
            <w:r w:rsidRPr="00CD2781">
              <w:rPr>
                <w:rFonts w:ascii="Tahoma" w:hAnsi="Tahoma" w:cs="Tahoma"/>
                <w:b/>
                <w:bCs/>
                <w:i/>
                <w:iCs/>
                <w:sz w:val="20"/>
                <w:szCs w:val="20"/>
              </w:rPr>
              <w:t>Circular, plana, con borde tronco –cónico. Cara inferior llana, sin nervaduras</w:t>
            </w:r>
          </w:p>
        </w:tc>
      </w:tr>
      <w:tr w:rsidR="00A266E4" w:rsidRPr="00CD2781" w:rsidTr="00E70F61">
        <w:trPr>
          <w:trHeight w:val="230"/>
        </w:trPr>
        <w:tc>
          <w:tcPr>
            <w:tcW w:w="495" w:type="dxa"/>
            <w:vMerge/>
          </w:tcPr>
          <w:p w:rsidR="00A266E4" w:rsidRPr="00CD2781" w:rsidRDefault="00A266E4" w:rsidP="00CD2781">
            <w:pPr>
              <w:jc w:val="both"/>
              <w:rPr>
                <w:rFonts w:ascii="Tahoma" w:hAnsi="Tahoma" w:cs="Tahoma"/>
                <w:b/>
                <w:bCs/>
                <w:sz w:val="20"/>
                <w:szCs w:val="20"/>
              </w:rPr>
            </w:pPr>
          </w:p>
        </w:tc>
        <w:tc>
          <w:tcPr>
            <w:tcW w:w="1701" w:type="dxa"/>
          </w:tcPr>
          <w:p w:rsidR="00A266E4" w:rsidRPr="00CD2781" w:rsidRDefault="00A266E4" w:rsidP="00CD2781">
            <w:pPr>
              <w:jc w:val="center"/>
              <w:rPr>
                <w:rFonts w:ascii="Tahoma" w:hAnsi="Tahoma" w:cs="Tahoma"/>
                <w:b/>
                <w:bCs/>
                <w:i/>
                <w:iCs/>
                <w:sz w:val="20"/>
                <w:szCs w:val="20"/>
              </w:rPr>
            </w:pPr>
            <w:r w:rsidRPr="00CD2781">
              <w:rPr>
                <w:rFonts w:ascii="Tahoma" w:hAnsi="Tahoma" w:cs="Tahoma"/>
                <w:b/>
                <w:bCs/>
                <w:i/>
                <w:iCs/>
                <w:sz w:val="20"/>
                <w:szCs w:val="20"/>
              </w:rPr>
              <w:t>A</w:t>
            </w:r>
          </w:p>
        </w:tc>
        <w:tc>
          <w:tcPr>
            <w:tcW w:w="1701" w:type="dxa"/>
          </w:tcPr>
          <w:p w:rsidR="00A266E4" w:rsidRPr="00CD2781" w:rsidRDefault="00A266E4" w:rsidP="00CD2781">
            <w:pPr>
              <w:jc w:val="center"/>
              <w:rPr>
                <w:rFonts w:ascii="Tahoma" w:hAnsi="Tahoma" w:cs="Tahoma"/>
                <w:b/>
                <w:bCs/>
                <w:i/>
                <w:iCs/>
                <w:sz w:val="20"/>
                <w:szCs w:val="20"/>
              </w:rPr>
            </w:pPr>
            <w:r w:rsidRPr="00CD2781">
              <w:rPr>
                <w:rFonts w:ascii="Tahoma" w:hAnsi="Tahoma" w:cs="Tahoma"/>
                <w:b/>
                <w:bCs/>
                <w:i/>
                <w:iCs/>
                <w:sz w:val="20"/>
                <w:szCs w:val="20"/>
              </w:rPr>
              <w:t>B</w:t>
            </w:r>
          </w:p>
        </w:tc>
        <w:tc>
          <w:tcPr>
            <w:tcW w:w="1701" w:type="dxa"/>
          </w:tcPr>
          <w:p w:rsidR="00A266E4" w:rsidRPr="00CD2781" w:rsidRDefault="00A266E4" w:rsidP="00CD2781">
            <w:pPr>
              <w:jc w:val="center"/>
              <w:rPr>
                <w:rFonts w:ascii="Tahoma" w:hAnsi="Tahoma" w:cs="Tahoma"/>
                <w:b/>
                <w:bCs/>
                <w:i/>
                <w:iCs/>
                <w:sz w:val="20"/>
                <w:szCs w:val="20"/>
              </w:rPr>
            </w:pPr>
            <w:r w:rsidRPr="00CD2781">
              <w:rPr>
                <w:rFonts w:ascii="Tahoma" w:hAnsi="Tahoma" w:cs="Tahoma"/>
                <w:b/>
                <w:bCs/>
                <w:i/>
                <w:iCs/>
                <w:sz w:val="20"/>
                <w:szCs w:val="20"/>
              </w:rPr>
              <w:t>C</w:t>
            </w:r>
          </w:p>
        </w:tc>
        <w:tc>
          <w:tcPr>
            <w:tcW w:w="2199" w:type="dxa"/>
          </w:tcPr>
          <w:p w:rsidR="00A266E4" w:rsidRPr="00CD2781" w:rsidRDefault="00A266E4" w:rsidP="00CD2781">
            <w:pPr>
              <w:jc w:val="center"/>
              <w:rPr>
                <w:rFonts w:ascii="Tahoma" w:hAnsi="Tahoma" w:cs="Tahoma"/>
                <w:b/>
                <w:bCs/>
                <w:i/>
                <w:iCs/>
                <w:sz w:val="20"/>
                <w:szCs w:val="20"/>
              </w:rPr>
            </w:pPr>
            <w:r w:rsidRPr="00CD2781">
              <w:rPr>
                <w:rFonts w:ascii="Tahoma" w:hAnsi="Tahoma" w:cs="Tahoma"/>
                <w:b/>
                <w:bCs/>
                <w:i/>
                <w:iCs/>
                <w:sz w:val="20"/>
                <w:szCs w:val="20"/>
              </w:rPr>
              <w:t>D</w:t>
            </w:r>
          </w:p>
        </w:tc>
      </w:tr>
      <w:tr w:rsidR="00A266E4" w:rsidRPr="00CD2781" w:rsidTr="00E70F61">
        <w:tc>
          <w:tcPr>
            <w:tcW w:w="495"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Diámetro Superior</w:t>
            </w:r>
          </w:p>
        </w:tc>
        <w:tc>
          <w:tcPr>
            <w:tcW w:w="1701"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75.5</w:t>
            </w:r>
          </w:p>
        </w:tc>
        <w:tc>
          <w:tcPr>
            <w:tcW w:w="1701"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75.3</w:t>
            </w:r>
          </w:p>
        </w:tc>
        <w:tc>
          <w:tcPr>
            <w:tcW w:w="1701"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75.5</w:t>
            </w:r>
          </w:p>
        </w:tc>
        <w:tc>
          <w:tcPr>
            <w:tcW w:w="2199"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75.3</w:t>
            </w:r>
          </w:p>
        </w:tc>
      </w:tr>
      <w:tr w:rsidR="00A266E4" w:rsidRPr="00CD2781" w:rsidTr="00E70F61">
        <w:trPr>
          <w:trHeight w:val="580"/>
        </w:trPr>
        <w:tc>
          <w:tcPr>
            <w:tcW w:w="495"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Diámetro Superior Media</w:t>
            </w:r>
          </w:p>
        </w:tc>
        <w:tc>
          <w:tcPr>
            <w:tcW w:w="1701"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66.2</w:t>
            </w:r>
          </w:p>
        </w:tc>
        <w:tc>
          <w:tcPr>
            <w:tcW w:w="1701"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66.1</w:t>
            </w:r>
          </w:p>
        </w:tc>
        <w:tc>
          <w:tcPr>
            <w:tcW w:w="1701"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66.2</w:t>
            </w:r>
          </w:p>
        </w:tc>
        <w:tc>
          <w:tcPr>
            <w:tcW w:w="2199"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66.0</w:t>
            </w:r>
          </w:p>
        </w:tc>
      </w:tr>
      <w:tr w:rsidR="00A266E4" w:rsidRPr="00CD2781" w:rsidTr="00E70F61">
        <w:trPr>
          <w:trHeight w:val="400"/>
        </w:trPr>
        <w:tc>
          <w:tcPr>
            <w:tcW w:w="495"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Diámetro inferior de acceso</w:t>
            </w:r>
          </w:p>
        </w:tc>
        <w:tc>
          <w:tcPr>
            <w:tcW w:w="1701"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53.2</w:t>
            </w:r>
          </w:p>
        </w:tc>
        <w:tc>
          <w:tcPr>
            <w:tcW w:w="1701"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53.0</w:t>
            </w:r>
          </w:p>
        </w:tc>
        <w:tc>
          <w:tcPr>
            <w:tcW w:w="1701"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53.2</w:t>
            </w:r>
          </w:p>
        </w:tc>
        <w:tc>
          <w:tcPr>
            <w:tcW w:w="2199"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53.3</w:t>
            </w:r>
          </w:p>
        </w:tc>
      </w:tr>
      <w:tr w:rsidR="00A266E4" w:rsidRPr="00CD2781" w:rsidTr="00E70F61">
        <w:tc>
          <w:tcPr>
            <w:tcW w:w="495"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lastRenderedPageBreak/>
              <w:t>Diámetro exterior base</w:t>
            </w:r>
          </w:p>
        </w:tc>
        <w:tc>
          <w:tcPr>
            <w:tcW w:w="1701"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83.0</w:t>
            </w:r>
          </w:p>
        </w:tc>
        <w:tc>
          <w:tcPr>
            <w:tcW w:w="1701"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82.7</w:t>
            </w:r>
          </w:p>
        </w:tc>
        <w:tc>
          <w:tcPr>
            <w:tcW w:w="1701"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83.0</w:t>
            </w:r>
          </w:p>
        </w:tc>
        <w:tc>
          <w:tcPr>
            <w:tcW w:w="2199"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82.8</w:t>
            </w:r>
          </w:p>
        </w:tc>
      </w:tr>
      <w:tr w:rsidR="00A266E4" w:rsidRPr="00CD2781" w:rsidTr="00E70F61">
        <w:tc>
          <w:tcPr>
            <w:tcW w:w="495"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Altura</w:t>
            </w:r>
          </w:p>
        </w:tc>
        <w:tc>
          <w:tcPr>
            <w:tcW w:w="1701"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10.8</w:t>
            </w:r>
          </w:p>
        </w:tc>
        <w:tc>
          <w:tcPr>
            <w:tcW w:w="1701"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11.0</w:t>
            </w:r>
          </w:p>
        </w:tc>
        <w:tc>
          <w:tcPr>
            <w:tcW w:w="1701"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11.2</w:t>
            </w:r>
          </w:p>
        </w:tc>
        <w:tc>
          <w:tcPr>
            <w:tcW w:w="2199"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10.9</w:t>
            </w:r>
          </w:p>
        </w:tc>
      </w:tr>
      <w:tr w:rsidR="00A266E4" w:rsidRPr="00CD2781" w:rsidTr="00E70F61">
        <w:trPr>
          <w:trHeight w:val="170"/>
        </w:trPr>
        <w:tc>
          <w:tcPr>
            <w:tcW w:w="495"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Peso</w:t>
            </w:r>
          </w:p>
        </w:tc>
        <w:tc>
          <w:tcPr>
            <w:tcW w:w="1701"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15.0</w:t>
            </w:r>
          </w:p>
        </w:tc>
        <w:tc>
          <w:tcPr>
            <w:tcW w:w="1701"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14.6</w:t>
            </w:r>
          </w:p>
        </w:tc>
        <w:tc>
          <w:tcPr>
            <w:tcW w:w="1701"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14.7</w:t>
            </w:r>
          </w:p>
        </w:tc>
        <w:tc>
          <w:tcPr>
            <w:tcW w:w="2199"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14.6</w:t>
            </w:r>
          </w:p>
        </w:tc>
      </w:tr>
      <w:tr w:rsidR="00A266E4" w:rsidRPr="00CD2781" w:rsidTr="00E70F61">
        <w:trPr>
          <w:trHeight w:val="400"/>
        </w:trPr>
        <w:tc>
          <w:tcPr>
            <w:tcW w:w="495"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Peso de perno, tuerca y arandela</w:t>
            </w:r>
          </w:p>
        </w:tc>
        <w:tc>
          <w:tcPr>
            <w:tcW w:w="1701"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108</w:t>
            </w:r>
          </w:p>
        </w:tc>
        <w:tc>
          <w:tcPr>
            <w:tcW w:w="1701"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108</w:t>
            </w:r>
          </w:p>
        </w:tc>
        <w:tc>
          <w:tcPr>
            <w:tcW w:w="1701"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108</w:t>
            </w:r>
          </w:p>
        </w:tc>
        <w:tc>
          <w:tcPr>
            <w:tcW w:w="2199" w:type="dxa"/>
            <w:vAlign w:val="center"/>
          </w:tcPr>
          <w:p w:rsidR="00A266E4" w:rsidRPr="00CD2781" w:rsidRDefault="00A266E4" w:rsidP="00CD2781">
            <w:pPr>
              <w:jc w:val="center"/>
              <w:rPr>
                <w:rFonts w:ascii="Tahoma" w:hAnsi="Tahoma" w:cs="Tahoma"/>
                <w:i/>
                <w:iCs/>
                <w:sz w:val="20"/>
                <w:szCs w:val="20"/>
              </w:rPr>
            </w:pPr>
            <w:r w:rsidRPr="00CD2781">
              <w:rPr>
                <w:rFonts w:ascii="Tahoma" w:hAnsi="Tahoma" w:cs="Tahoma"/>
                <w:i/>
                <w:iCs/>
                <w:sz w:val="20"/>
                <w:szCs w:val="20"/>
              </w:rPr>
              <w:t>108</w:t>
            </w:r>
          </w:p>
        </w:tc>
      </w:tr>
    </w:tbl>
    <w:p w:rsidR="00A266E4" w:rsidRPr="00CD2781" w:rsidRDefault="00A266E4" w:rsidP="00A266E4">
      <w:pPr>
        <w:ind w:left="540"/>
        <w:jc w:val="both"/>
        <w:rPr>
          <w:rFonts w:ascii="Tahoma" w:hAnsi="Tahoma" w:cs="Tahoma"/>
          <w:b/>
          <w:bCs/>
          <w:sz w:val="20"/>
          <w:szCs w:val="20"/>
        </w:rPr>
      </w:pPr>
    </w:p>
    <w:p w:rsidR="00A266E4" w:rsidRPr="00CD2781" w:rsidRDefault="00A266E4" w:rsidP="00E70F61">
      <w:pPr>
        <w:spacing w:line="240" w:lineRule="auto"/>
        <w:ind w:left="539"/>
        <w:jc w:val="both"/>
        <w:rPr>
          <w:rFonts w:ascii="Tahoma" w:hAnsi="Tahoma" w:cs="Tahoma"/>
          <w:b/>
          <w:bCs/>
          <w:sz w:val="20"/>
          <w:szCs w:val="20"/>
        </w:rPr>
      </w:pPr>
      <w:r w:rsidRPr="00CD2781">
        <w:rPr>
          <w:rFonts w:ascii="Tahoma" w:hAnsi="Tahoma" w:cs="Tahoma"/>
          <w:b/>
          <w:bCs/>
          <w:sz w:val="20"/>
          <w:szCs w:val="20"/>
        </w:rPr>
        <w:t>Procedimiento de Ensayo</w:t>
      </w:r>
    </w:p>
    <w:p w:rsidR="00A266E4" w:rsidRPr="00CD2781" w:rsidRDefault="00A266E4" w:rsidP="00E70F61">
      <w:pPr>
        <w:spacing w:line="240" w:lineRule="auto"/>
        <w:ind w:left="539"/>
        <w:jc w:val="both"/>
        <w:rPr>
          <w:rFonts w:ascii="Tahoma" w:hAnsi="Tahoma" w:cs="Tahoma"/>
          <w:sz w:val="20"/>
          <w:szCs w:val="20"/>
        </w:rPr>
      </w:pPr>
    </w:p>
    <w:p w:rsidR="00A266E4" w:rsidRPr="00CD2781" w:rsidRDefault="00A266E4" w:rsidP="00E70F61">
      <w:pPr>
        <w:spacing w:line="240" w:lineRule="auto"/>
        <w:ind w:left="539"/>
        <w:jc w:val="both"/>
        <w:rPr>
          <w:rFonts w:ascii="Tahoma" w:hAnsi="Tahoma" w:cs="Tahoma"/>
          <w:sz w:val="20"/>
          <w:szCs w:val="20"/>
        </w:rPr>
      </w:pPr>
      <w:r w:rsidRPr="00CD2781">
        <w:rPr>
          <w:rFonts w:ascii="Tahoma" w:hAnsi="Tahoma" w:cs="Tahoma"/>
          <w:sz w:val="20"/>
          <w:szCs w:val="20"/>
        </w:rPr>
        <w:t xml:space="preserve">Para el ensayo, la tapa con el marco y los accesorios de aplicación de carga se colocaron centrados en el eje actuador y celda de carga.           </w:t>
      </w:r>
    </w:p>
    <w:p w:rsidR="00A266E4" w:rsidRPr="00CD2781" w:rsidRDefault="00A266E4" w:rsidP="00E70F61">
      <w:pPr>
        <w:spacing w:line="240" w:lineRule="auto"/>
        <w:ind w:left="539"/>
        <w:jc w:val="both"/>
        <w:rPr>
          <w:rFonts w:ascii="Tahoma" w:hAnsi="Tahoma" w:cs="Tahoma"/>
          <w:sz w:val="20"/>
          <w:szCs w:val="20"/>
        </w:rPr>
      </w:pPr>
      <w:r w:rsidRPr="00CD2781">
        <w:rPr>
          <w:rFonts w:ascii="Tahoma" w:hAnsi="Tahoma" w:cs="Tahoma"/>
          <w:sz w:val="20"/>
          <w:szCs w:val="20"/>
        </w:rPr>
        <w:t>En todos los casos se aplicó carga gradualmente de acuerdo a la norma de la referencia, primeo para ver si soportaba  120KN, lo que no fue posible debido a que colapsaron antes. Las Cargas resultantes se muestran en el recuadro de las medidas de las tapas.</w:t>
      </w:r>
    </w:p>
    <w:p w:rsidR="00A266E4" w:rsidRPr="00CD2781" w:rsidRDefault="00A266E4" w:rsidP="00A266E4">
      <w:pPr>
        <w:numPr>
          <w:ilvl w:val="0"/>
          <w:numId w:val="15"/>
        </w:numPr>
        <w:spacing w:after="0" w:line="240" w:lineRule="auto"/>
        <w:jc w:val="both"/>
        <w:rPr>
          <w:rFonts w:ascii="Tahoma" w:hAnsi="Tahoma" w:cs="Tahoma"/>
          <w:sz w:val="20"/>
          <w:szCs w:val="20"/>
        </w:rPr>
      </w:pPr>
      <w:r w:rsidRPr="00CD2781">
        <w:rPr>
          <w:rFonts w:ascii="Tahoma" w:hAnsi="Tahoma" w:cs="Tahoma"/>
          <w:sz w:val="20"/>
          <w:szCs w:val="20"/>
        </w:rPr>
        <w:t>En relación a ello, debe señalarse que las Bases del proceso establecieron en el Capítulo V  referido a las especificaciones técnicas y requerimientos técnicos mínimos, precisándose las siguientes características:</w:t>
      </w:r>
    </w:p>
    <w:p w:rsidR="00A266E4" w:rsidRPr="00CD2781" w:rsidRDefault="00A266E4" w:rsidP="00A266E4">
      <w:pPr>
        <w:pStyle w:val="Prrafodelista"/>
        <w:rPr>
          <w:rFonts w:ascii="Tahoma" w:hAnsi="Tahoma" w:cs="Tahoma"/>
          <w:sz w:val="20"/>
          <w:highlight w:val="yellow"/>
        </w:rPr>
      </w:pPr>
    </w:p>
    <w:tbl>
      <w:tblPr>
        <w:tblW w:w="7797"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797"/>
      </w:tblGrid>
      <w:tr w:rsidR="00A266E4" w:rsidRPr="00CD2781" w:rsidTr="00E70F61">
        <w:trPr>
          <w:trHeight w:val="2614"/>
        </w:trPr>
        <w:tc>
          <w:tcPr>
            <w:tcW w:w="7797" w:type="dxa"/>
          </w:tcPr>
          <w:p w:rsidR="00A266E4" w:rsidRPr="00CD2781" w:rsidRDefault="00A266E4" w:rsidP="00CD2781">
            <w:pPr>
              <w:jc w:val="center"/>
              <w:rPr>
                <w:rFonts w:ascii="Tahoma" w:hAnsi="Tahoma" w:cs="Tahoma"/>
                <w:b/>
                <w:bCs/>
                <w:sz w:val="20"/>
                <w:szCs w:val="20"/>
                <w:lang w:val="es-ES_tradnl"/>
              </w:rPr>
            </w:pPr>
            <w:r w:rsidRPr="00CD2781">
              <w:rPr>
                <w:rFonts w:ascii="Tahoma" w:hAnsi="Tahoma" w:cs="Tahoma"/>
                <w:b/>
                <w:bCs/>
                <w:sz w:val="20"/>
                <w:szCs w:val="20"/>
                <w:lang w:val="es-ES_tradnl"/>
              </w:rPr>
              <w:t>ESPECIFICACIONES TÉCNICAS PARA LA ADQUISICIÓN DE TAPAS DE POLIETILENO RECICLADO PARA ALCANTARILLADO CON SEGURO</w:t>
            </w:r>
          </w:p>
          <w:p w:rsidR="00A266E4" w:rsidRPr="00CD2781" w:rsidRDefault="00A266E4" w:rsidP="00CD2781">
            <w:pPr>
              <w:rPr>
                <w:rFonts w:ascii="Tahoma" w:hAnsi="Tahoma" w:cs="Tahoma"/>
                <w:b/>
                <w:bCs/>
                <w:sz w:val="20"/>
                <w:szCs w:val="20"/>
              </w:rPr>
            </w:pPr>
            <w:r w:rsidRPr="00CD2781">
              <w:rPr>
                <w:rFonts w:ascii="Tahoma" w:hAnsi="Tahoma" w:cs="Tahoma"/>
                <w:sz w:val="20"/>
                <w:szCs w:val="20"/>
              </w:rPr>
              <w:t xml:space="preserve">       </w:t>
            </w:r>
            <w:r w:rsidRPr="00CD2781">
              <w:rPr>
                <w:rFonts w:ascii="Tahoma" w:hAnsi="Tahoma" w:cs="Tahoma"/>
                <w:b/>
                <w:bCs/>
                <w:sz w:val="20"/>
                <w:szCs w:val="20"/>
              </w:rPr>
              <w:t xml:space="preserve">  I. </w:t>
            </w:r>
            <w:r w:rsidRPr="00CD2781">
              <w:rPr>
                <w:rFonts w:ascii="Tahoma" w:hAnsi="Tahoma" w:cs="Tahoma"/>
                <w:b/>
                <w:bCs/>
                <w:sz w:val="20"/>
                <w:szCs w:val="20"/>
                <w:u w:val="single"/>
              </w:rPr>
              <w:t>DESCRIPCIÓN MINIMA NECESARIA</w:t>
            </w:r>
          </w:p>
          <w:p w:rsidR="00A266E4" w:rsidRPr="00CD2781" w:rsidRDefault="00A266E4" w:rsidP="00CD2781">
            <w:pPr>
              <w:rPr>
                <w:rFonts w:ascii="Tahoma" w:hAnsi="Tahoma" w:cs="Tahoma"/>
                <w:sz w:val="20"/>
                <w:szCs w:val="20"/>
              </w:rPr>
            </w:pPr>
            <w:r w:rsidRPr="00CD2781">
              <w:rPr>
                <w:rFonts w:ascii="Tahoma" w:hAnsi="Tahoma" w:cs="Tahoma"/>
                <w:sz w:val="20"/>
                <w:szCs w:val="20"/>
              </w:rPr>
              <w:t xml:space="preserve">             TAPA POLIETILENO RECICLADO P/ALCANTARILLADO C/SEGURO</w:t>
            </w:r>
          </w:p>
          <w:p w:rsidR="00A266E4" w:rsidRPr="00CD2781" w:rsidRDefault="00A266E4" w:rsidP="00CD2781">
            <w:pPr>
              <w:rPr>
                <w:rFonts w:ascii="Tahoma" w:hAnsi="Tahoma" w:cs="Tahoma"/>
                <w:b/>
                <w:bCs/>
                <w:i/>
                <w:iCs/>
                <w:sz w:val="20"/>
                <w:szCs w:val="20"/>
              </w:rPr>
            </w:pPr>
            <w:r w:rsidRPr="00CD2781">
              <w:rPr>
                <w:rFonts w:ascii="Tahoma" w:hAnsi="Tahoma" w:cs="Tahoma"/>
                <w:b/>
                <w:bCs/>
                <w:sz w:val="20"/>
                <w:szCs w:val="20"/>
              </w:rPr>
              <w:t xml:space="preserve">        II. </w:t>
            </w:r>
            <w:r w:rsidRPr="00CD2781">
              <w:rPr>
                <w:rFonts w:ascii="Tahoma" w:hAnsi="Tahoma" w:cs="Tahoma"/>
                <w:b/>
                <w:bCs/>
                <w:sz w:val="20"/>
                <w:szCs w:val="20"/>
                <w:u w:val="single"/>
              </w:rPr>
              <w:t>DESCRIPCIÓN AMPLIADA</w:t>
            </w:r>
          </w:p>
          <w:p w:rsidR="00A266E4" w:rsidRPr="00CD2781" w:rsidRDefault="00A266E4" w:rsidP="00CD2781">
            <w:pPr>
              <w:ind w:left="709"/>
              <w:rPr>
                <w:rFonts w:ascii="Tahoma" w:hAnsi="Tahoma" w:cs="Tahoma"/>
                <w:sz w:val="20"/>
                <w:szCs w:val="20"/>
              </w:rPr>
            </w:pPr>
            <w:r w:rsidRPr="00CD2781">
              <w:rPr>
                <w:rFonts w:ascii="Tahoma" w:hAnsi="Tahoma" w:cs="Tahoma"/>
                <w:sz w:val="20"/>
                <w:szCs w:val="20"/>
              </w:rPr>
              <w:t xml:space="preserve"> Marco y tapa para buzones de inspección de polietileno reciclado de alto impacto   para alcantarillado y con sistema de seguridad.</w:t>
            </w:r>
          </w:p>
          <w:p w:rsidR="00A266E4" w:rsidRPr="00CD2781" w:rsidRDefault="00A266E4" w:rsidP="00CD2781">
            <w:pPr>
              <w:rPr>
                <w:rFonts w:ascii="Tahoma" w:hAnsi="Tahoma" w:cs="Tahoma"/>
                <w:b/>
                <w:bCs/>
                <w:sz w:val="20"/>
                <w:szCs w:val="20"/>
                <w:u w:val="single"/>
              </w:rPr>
            </w:pPr>
            <w:r w:rsidRPr="00CD2781">
              <w:rPr>
                <w:rFonts w:ascii="Tahoma" w:hAnsi="Tahoma" w:cs="Tahoma"/>
                <w:b/>
                <w:bCs/>
                <w:sz w:val="20"/>
                <w:szCs w:val="20"/>
              </w:rPr>
              <w:t xml:space="preserve">       III. </w:t>
            </w:r>
            <w:r w:rsidRPr="00CD2781">
              <w:rPr>
                <w:rFonts w:ascii="Tahoma" w:hAnsi="Tahoma" w:cs="Tahoma"/>
                <w:b/>
                <w:bCs/>
                <w:sz w:val="20"/>
                <w:szCs w:val="20"/>
                <w:u w:val="single"/>
              </w:rPr>
              <w:t>CARACTERÍSTICAS TÉCNICAS</w:t>
            </w:r>
          </w:p>
          <w:p w:rsidR="00A266E4" w:rsidRPr="00CD2781" w:rsidRDefault="00A266E4" w:rsidP="00CD2781">
            <w:pPr>
              <w:rPr>
                <w:rFonts w:ascii="Tahoma" w:hAnsi="Tahoma" w:cs="Tahoma"/>
                <w:sz w:val="20"/>
                <w:szCs w:val="20"/>
              </w:rPr>
            </w:pPr>
            <w:r w:rsidRPr="00CD2781">
              <w:rPr>
                <w:rFonts w:ascii="Tahoma" w:hAnsi="Tahoma" w:cs="Tahoma"/>
                <w:sz w:val="20"/>
                <w:szCs w:val="20"/>
              </w:rPr>
              <w:t xml:space="preserve">             Medidas de la Tapa Circular</w:t>
            </w:r>
          </w:p>
          <w:p w:rsidR="00A266E4" w:rsidRPr="00CD2781" w:rsidRDefault="00A266E4" w:rsidP="00A266E4">
            <w:pPr>
              <w:numPr>
                <w:ilvl w:val="0"/>
                <w:numId w:val="16"/>
              </w:numPr>
              <w:spacing w:after="0" w:line="240" w:lineRule="auto"/>
              <w:rPr>
                <w:rFonts w:ascii="Tahoma" w:hAnsi="Tahoma" w:cs="Tahoma"/>
                <w:sz w:val="20"/>
                <w:szCs w:val="20"/>
              </w:rPr>
            </w:pPr>
            <w:r w:rsidRPr="00CD2781">
              <w:rPr>
                <w:rFonts w:ascii="Tahoma" w:hAnsi="Tahoma" w:cs="Tahoma"/>
                <w:sz w:val="20"/>
                <w:szCs w:val="20"/>
              </w:rPr>
              <w:t>Diámetro Superior: 65.00 CM</w:t>
            </w:r>
          </w:p>
          <w:p w:rsidR="00A266E4" w:rsidRPr="00CD2781" w:rsidRDefault="00A266E4" w:rsidP="00A266E4">
            <w:pPr>
              <w:numPr>
                <w:ilvl w:val="0"/>
                <w:numId w:val="16"/>
              </w:numPr>
              <w:spacing w:after="0" w:line="240" w:lineRule="auto"/>
              <w:rPr>
                <w:rFonts w:ascii="Tahoma" w:hAnsi="Tahoma" w:cs="Tahoma"/>
                <w:sz w:val="20"/>
                <w:szCs w:val="20"/>
              </w:rPr>
            </w:pPr>
            <w:r w:rsidRPr="00CD2781">
              <w:rPr>
                <w:rFonts w:ascii="Tahoma" w:hAnsi="Tahoma" w:cs="Tahoma"/>
                <w:sz w:val="20"/>
                <w:szCs w:val="20"/>
              </w:rPr>
              <w:t>Diámetro Inferior: 56.00 CM</w:t>
            </w:r>
          </w:p>
          <w:p w:rsidR="00A266E4" w:rsidRPr="00CD2781" w:rsidRDefault="00A266E4" w:rsidP="00A266E4">
            <w:pPr>
              <w:numPr>
                <w:ilvl w:val="0"/>
                <w:numId w:val="16"/>
              </w:numPr>
              <w:spacing w:after="0" w:line="240" w:lineRule="auto"/>
              <w:rPr>
                <w:rFonts w:ascii="Tahoma" w:hAnsi="Tahoma" w:cs="Tahoma"/>
                <w:sz w:val="20"/>
                <w:szCs w:val="20"/>
              </w:rPr>
            </w:pPr>
            <w:r w:rsidRPr="00CD2781">
              <w:rPr>
                <w:rFonts w:ascii="Tahoma" w:hAnsi="Tahoma" w:cs="Tahoma"/>
                <w:sz w:val="20"/>
                <w:szCs w:val="20"/>
              </w:rPr>
              <w:t>Altura: 10.50CM</w:t>
            </w:r>
          </w:p>
          <w:p w:rsidR="00A266E4" w:rsidRPr="00CD2781" w:rsidRDefault="00A266E4" w:rsidP="00A266E4">
            <w:pPr>
              <w:numPr>
                <w:ilvl w:val="0"/>
                <w:numId w:val="16"/>
              </w:numPr>
              <w:spacing w:after="0" w:line="240" w:lineRule="auto"/>
              <w:rPr>
                <w:rFonts w:ascii="Tahoma" w:hAnsi="Tahoma" w:cs="Tahoma"/>
                <w:sz w:val="20"/>
                <w:szCs w:val="20"/>
              </w:rPr>
            </w:pPr>
            <w:r w:rsidRPr="00CD2781">
              <w:rPr>
                <w:rFonts w:ascii="Tahoma" w:hAnsi="Tahoma" w:cs="Tahoma"/>
                <w:sz w:val="20"/>
                <w:szCs w:val="20"/>
              </w:rPr>
              <w:lastRenderedPageBreak/>
              <w:t>Peso: 25.0 Kg.</w:t>
            </w:r>
          </w:p>
          <w:p w:rsidR="00A266E4" w:rsidRPr="00CD2781" w:rsidRDefault="00A266E4" w:rsidP="00A266E4">
            <w:pPr>
              <w:numPr>
                <w:ilvl w:val="0"/>
                <w:numId w:val="16"/>
              </w:numPr>
              <w:spacing w:after="0" w:line="240" w:lineRule="auto"/>
              <w:rPr>
                <w:rFonts w:ascii="Tahoma" w:hAnsi="Tahoma" w:cs="Tahoma"/>
                <w:sz w:val="20"/>
                <w:szCs w:val="20"/>
              </w:rPr>
            </w:pPr>
            <w:r w:rsidRPr="00CD2781">
              <w:rPr>
                <w:rFonts w:ascii="Tahoma" w:hAnsi="Tahoma" w:cs="Tahoma"/>
                <w:sz w:val="20"/>
                <w:szCs w:val="20"/>
              </w:rPr>
              <w:t>Tolerancia: (+/-3% Kg.)</w:t>
            </w:r>
          </w:p>
          <w:p w:rsidR="00A266E4" w:rsidRPr="00CD2781" w:rsidRDefault="00A266E4" w:rsidP="00A266E4">
            <w:pPr>
              <w:numPr>
                <w:ilvl w:val="0"/>
                <w:numId w:val="16"/>
              </w:numPr>
              <w:spacing w:after="0" w:line="240" w:lineRule="auto"/>
              <w:rPr>
                <w:rFonts w:ascii="Tahoma" w:hAnsi="Tahoma" w:cs="Tahoma"/>
                <w:sz w:val="20"/>
                <w:szCs w:val="20"/>
              </w:rPr>
            </w:pPr>
            <w:r w:rsidRPr="00CD2781">
              <w:rPr>
                <w:rFonts w:ascii="Tahoma" w:hAnsi="Tahoma" w:cs="Tahoma"/>
                <w:sz w:val="20"/>
                <w:szCs w:val="20"/>
              </w:rPr>
              <w:t>Resistencia Carga Puntual : 12 000Kg (NTP 339.111)</w:t>
            </w:r>
          </w:p>
          <w:p w:rsidR="00A266E4" w:rsidRPr="00CD2781" w:rsidRDefault="00A266E4" w:rsidP="00A266E4">
            <w:pPr>
              <w:numPr>
                <w:ilvl w:val="0"/>
                <w:numId w:val="16"/>
              </w:numPr>
              <w:spacing w:after="0" w:line="240" w:lineRule="auto"/>
              <w:rPr>
                <w:rFonts w:ascii="Tahoma" w:hAnsi="Tahoma" w:cs="Tahoma"/>
                <w:sz w:val="20"/>
                <w:szCs w:val="20"/>
              </w:rPr>
            </w:pPr>
            <w:r w:rsidRPr="00CD2781">
              <w:rPr>
                <w:rFonts w:ascii="Tahoma" w:hAnsi="Tahoma" w:cs="Tahoma"/>
                <w:sz w:val="20"/>
                <w:szCs w:val="20"/>
              </w:rPr>
              <w:t>Carga Máxima de Rotura : &gt; 20 TN</w:t>
            </w:r>
          </w:p>
          <w:p w:rsidR="00A266E4" w:rsidRPr="00CD2781" w:rsidRDefault="00A266E4" w:rsidP="00A266E4">
            <w:pPr>
              <w:numPr>
                <w:ilvl w:val="0"/>
                <w:numId w:val="16"/>
              </w:numPr>
              <w:spacing w:after="0" w:line="240" w:lineRule="auto"/>
              <w:rPr>
                <w:rFonts w:ascii="Tahoma" w:hAnsi="Tahoma" w:cs="Tahoma"/>
                <w:sz w:val="20"/>
                <w:szCs w:val="20"/>
              </w:rPr>
            </w:pPr>
            <w:r w:rsidRPr="00CD2781">
              <w:rPr>
                <w:rFonts w:ascii="Tahoma" w:hAnsi="Tahoma" w:cs="Tahoma"/>
                <w:sz w:val="20"/>
                <w:szCs w:val="20"/>
              </w:rPr>
              <w:t>Tipo de Trafico: Pesado</w:t>
            </w:r>
          </w:p>
          <w:p w:rsidR="00A266E4" w:rsidRPr="00CD2781" w:rsidRDefault="00A266E4" w:rsidP="00A266E4">
            <w:pPr>
              <w:numPr>
                <w:ilvl w:val="0"/>
                <w:numId w:val="16"/>
              </w:numPr>
              <w:spacing w:after="0" w:line="240" w:lineRule="auto"/>
              <w:rPr>
                <w:rFonts w:ascii="Tahoma" w:hAnsi="Tahoma" w:cs="Tahoma"/>
                <w:sz w:val="20"/>
                <w:szCs w:val="20"/>
              </w:rPr>
            </w:pPr>
            <w:r w:rsidRPr="00CD2781">
              <w:rPr>
                <w:rFonts w:ascii="Tahoma" w:hAnsi="Tahoma" w:cs="Tahoma"/>
                <w:sz w:val="20"/>
                <w:szCs w:val="20"/>
              </w:rPr>
              <w:t>Sistema de seguridad: Seguro de acero inoxidable 316L Marco Circular.</w:t>
            </w:r>
          </w:p>
          <w:p w:rsidR="00A266E4" w:rsidRPr="00CD2781" w:rsidRDefault="00A266E4" w:rsidP="00A266E4">
            <w:pPr>
              <w:numPr>
                <w:ilvl w:val="0"/>
                <w:numId w:val="16"/>
              </w:numPr>
              <w:spacing w:after="0" w:line="240" w:lineRule="auto"/>
              <w:rPr>
                <w:rFonts w:ascii="Tahoma" w:hAnsi="Tahoma" w:cs="Tahoma"/>
                <w:sz w:val="20"/>
                <w:szCs w:val="20"/>
              </w:rPr>
            </w:pPr>
            <w:r w:rsidRPr="00CD2781">
              <w:rPr>
                <w:rFonts w:ascii="Tahoma" w:hAnsi="Tahoma" w:cs="Tahoma"/>
                <w:sz w:val="20"/>
                <w:szCs w:val="20"/>
              </w:rPr>
              <w:t>Diámetro Superior: 75.00CM</w:t>
            </w:r>
          </w:p>
          <w:p w:rsidR="00A266E4" w:rsidRPr="00CD2781" w:rsidRDefault="00A266E4" w:rsidP="00A266E4">
            <w:pPr>
              <w:numPr>
                <w:ilvl w:val="0"/>
                <w:numId w:val="16"/>
              </w:numPr>
              <w:spacing w:after="0" w:line="240" w:lineRule="auto"/>
              <w:rPr>
                <w:rFonts w:ascii="Tahoma" w:hAnsi="Tahoma" w:cs="Tahoma"/>
                <w:sz w:val="20"/>
                <w:szCs w:val="20"/>
              </w:rPr>
            </w:pPr>
            <w:r w:rsidRPr="00CD2781">
              <w:rPr>
                <w:rFonts w:ascii="Tahoma" w:hAnsi="Tahoma" w:cs="Tahoma"/>
                <w:sz w:val="20"/>
                <w:szCs w:val="20"/>
              </w:rPr>
              <w:t>Diámetro Superior Media: 66.00CM</w:t>
            </w:r>
          </w:p>
          <w:p w:rsidR="00A266E4" w:rsidRPr="00CD2781" w:rsidRDefault="00A266E4" w:rsidP="00A266E4">
            <w:pPr>
              <w:numPr>
                <w:ilvl w:val="0"/>
                <w:numId w:val="16"/>
              </w:numPr>
              <w:spacing w:after="0" w:line="240" w:lineRule="auto"/>
              <w:rPr>
                <w:rFonts w:ascii="Tahoma" w:hAnsi="Tahoma" w:cs="Tahoma"/>
                <w:sz w:val="20"/>
                <w:szCs w:val="20"/>
              </w:rPr>
            </w:pPr>
            <w:r w:rsidRPr="00CD2781">
              <w:rPr>
                <w:rFonts w:ascii="Tahoma" w:hAnsi="Tahoma" w:cs="Tahoma"/>
                <w:sz w:val="20"/>
                <w:szCs w:val="20"/>
              </w:rPr>
              <w:t>Diámetro Inferior de Acceso: 53.00CM</w:t>
            </w:r>
          </w:p>
          <w:p w:rsidR="00A266E4" w:rsidRPr="00CD2781" w:rsidRDefault="00A266E4" w:rsidP="00A266E4">
            <w:pPr>
              <w:numPr>
                <w:ilvl w:val="0"/>
                <w:numId w:val="16"/>
              </w:numPr>
              <w:spacing w:after="0" w:line="240" w:lineRule="auto"/>
              <w:rPr>
                <w:rFonts w:ascii="Tahoma" w:hAnsi="Tahoma" w:cs="Tahoma"/>
                <w:sz w:val="20"/>
                <w:szCs w:val="20"/>
              </w:rPr>
            </w:pPr>
            <w:r w:rsidRPr="00CD2781">
              <w:rPr>
                <w:rFonts w:ascii="Tahoma" w:hAnsi="Tahoma" w:cs="Tahoma"/>
                <w:sz w:val="20"/>
                <w:szCs w:val="20"/>
              </w:rPr>
              <w:t>Diámetro Exterior Base: 83.00CM</w:t>
            </w:r>
          </w:p>
          <w:p w:rsidR="00A266E4" w:rsidRPr="00CD2781" w:rsidRDefault="00A266E4" w:rsidP="00A266E4">
            <w:pPr>
              <w:numPr>
                <w:ilvl w:val="0"/>
                <w:numId w:val="16"/>
              </w:numPr>
              <w:spacing w:after="0" w:line="240" w:lineRule="auto"/>
              <w:rPr>
                <w:rFonts w:ascii="Tahoma" w:hAnsi="Tahoma" w:cs="Tahoma"/>
                <w:sz w:val="20"/>
                <w:szCs w:val="20"/>
              </w:rPr>
            </w:pPr>
            <w:r w:rsidRPr="00CD2781">
              <w:rPr>
                <w:rFonts w:ascii="Tahoma" w:hAnsi="Tahoma" w:cs="Tahoma"/>
                <w:sz w:val="20"/>
                <w:szCs w:val="20"/>
              </w:rPr>
              <w:t>Altura: 11.50CM</w:t>
            </w:r>
          </w:p>
          <w:p w:rsidR="00A266E4" w:rsidRPr="00CD2781" w:rsidRDefault="00A266E4" w:rsidP="00A266E4">
            <w:pPr>
              <w:numPr>
                <w:ilvl w:val="0"/>
                <w:numId w:val="16"/>
              </w:numPr>
              <w:spacing w:after="0" w:line="240" w:lineRule="auto"/>
              <w:rPr>
                <w:rFonts w:ascii="Tahoma" w:hAnsi="Tahoma" w:cs="Tahoma"/>
                <w:sz w:val="20"/>
                <w:szCs w:val="20"/>
              </w:rPr>
            </w:pPr>
            <w:r w:rsidRPr="00CD2781">
              <w:rPr>
                <w:rFonts w:ascii="Tahoma" w:hAnsi="Tahoma" w:cs="Tahoma"/>
                <w:sz w:val="20"/>
                <w:szCs w:val="20"/>
              </w:rPr>
              <w:t>Peso: 15.00Kg</w:t>
            </w:r>
          </w:p>
          <w:p w:rsidR="00A266E4" w:rsidRPr="00CD2781" w:rsidRDefault="00A266E4" w:rsidP="00A266E4">
            <w:pPr>
              <w:numPr>
                <w:ilvl w:val="0"/>
                <w:numId w:val="16"/>
              </w:numPr>
              <w:spacing w:after="0" w:line="240" w:lineRule="auto"/>
              <w:rPr>
                <w:rFonts w:ascii="Tahoma" w:hAnsi="Tahoma" w:cs="Tahoma"/>
                <w:sz w:val="20"/>
                <w:szCs w:val="20"/>
              </w:rPr>
            </w:pPr>
            <w:r w:rsidRPr="00CD2781">
              <w:rPr>
                <w:rFonts w:ascii="Tahoma" w:hAnsi="Tahoma" w:cs="Tahoma"/>
                <w:sz w:val="20"/>
                <w:szCs w:val="20"/>
              </w:rPr>
              <w:t>Tolerancia: (+/-3% Kg.)</w:t>
            </w:r>
          </w:p>
          <w:p w:rsidR="00A266E4" w:rsidRPr="00CD2781" w:rsidRDefault="00A266E4" w:rsidP="00A266E4">
            <w:pPr>
              <w:numPr>
                <w:ilvl w:val="0"/>
                <w:numId w:val="16"/>
              </w:numPr>
              <w:spacing w:after="0" w:line="240" w:lineRule="auto"/>
              <w:rPr>
                <w:rFonts w:ascii="Tahoma" w:hAnsi="Tahoma" w:cs="Tahoma"/>
                <w:sz w:val="20"/>
                <w:szCs w:val="20"/>
              </w:rPr>
            </w:pPr>
            <w:r w:rsidRPr="00CD2781">
              <w:rPr>
                <w:rFonts w:ascii="Tahoma" w:hAnsi="Tahoma" w:cs="Tahoma"/>
                <w:sz w:val="20"/>
                <w:szCs w:val="20"/>
              </w:rPr>
              <w:t>Borde exterior de fácil adherencia al concreto.</w:t>
            </w:r>
          </w:p>
          <w:p w:rsidR="00A266E4" w:rsidRPr="00CD2781" w:rsidRDefault="00A266E4" w:rsidP="00A266E4">
            <w:pPr>
              <w:numPr>
                <w:ilvl w:val="0"/>
                <w:numId w:val="16"/>
              </w:numPr>
              <w:spacing w:after="0" w:line="240" w:lineRule="auto"/>
              <w:rPr>
                <w:rFonts w:ascii="Tahoma" w:hAnsi="Tahoma" w:cs="Tahoma"/>
                <w:sz w:val="20"/>
                <w:szCs w:val="20"/>
              </w:rPr>
            </w:pPr>
            <w:r w:rsidRPr="00CD2781">
              <w:rPr>
                <w:rFonts w:ascii="Tahoma" w:hAnsi="Tahoma" w:cs="Tahoma"/>
                <w:sz w:val="20"/>
                <w:szCs w:val="20"/>
              </w:rPr>
              <w:t>Protección a rayos UV.</w:t>
            </w:r>
          </w:p>
          <w:p w:rsidR="00A266E4" w:rsidRPr="00CD2781" w:rsidRDefault="00A266E4" w:rsidP="00CD2781">
            <w:pPr>
              <w:rPr>
                <w:rFonts w:ascii="Tahoma" w:hAnsi="Tahoma" w:cs="Tahoma"/>
                <w:b/>
                <w:bCs/>
                <w:sz w:val="20"/>
                <w:szCs w:val="20"/>
                <w:u w:val="single"/>
              </w:rPr>
            </w:pPr>
            <w:r w:rsidRPr="00CD2781">
              <w:rPr>
                <w:rFonts w:ascii="Tahoma" w:hAnsi="Tahoma" w:cs="Tahoma"/>
                <w:b/>
                <w:bCs/>
                <w:sz w:val="20"/>
                <w:szCs w:val="20"/>
              </w:rPr>
              <w:t xml:space="preserve">              </w:t>
            </w:r>
            <w:r w:rsidRPr="00CD2781">
              <w:rPr>
                <w:rFonts w:ascii="Tahoma" w:hAnsi="Tahoma" w:cs="Tahoma"/>
                <w:b/>
                <w:bCs/>
                <w:sz w:val="20"/>
                <w:szCs w:val="20"/>
                <w:u w:val="single"/>
              </w:rPr>
              <w:t xml:space="preserve">Garantia: </w:t>
            </w:r>
          </w:p>
          <w:p w:rsidR="00A266E4" w:rsidRPr="00CD2781" w:rsidRDefault="00A266E4" w:rsidP="00CD2781">
            <w:pPr>
              <w:rPr>
                <w:rFonts w:ascii="Tahoma" w:hAnsi="Tahoma" w:cs="Tahoma"/>
                <w:sz w:val="20"/>
                <w:szCs w:val="20"/>
              </w:rPr>
            </w:pPr>
            <w:r w:rsidRPr="00CD2781">
              <w:rPr>
                <w:rFonts w:ascii="Tahoma" w:hAnsi="Tahoma" w:cs="Tahoma"/>
                <w:sz w:val="20"/>
                <w:szCs w:val="20"/>
              </w:rPr>
              <w:t xml:space="preserve">               1 año</w:t>
            </w:r>
          </w:p>
          <w:p w:rsidR="00A266E4" w:rsidRPr="00CD2781" w:rsidRDefault="00A266E4" w:rsidP="00CD2781">
            <w:pPr>
              <w:rPr>
                <w:rFonts w:ascii="Tahoma" w:hAnsi="Tahoma" w:cs="Tahoma"/>
                <w:b/>
                <w:bCs/>
                <w:sz w:val="20"/>
                <w:szCs w:val="20"/>
                <w:u w:val="single"/>
              </w:rPr>
            </w:pPr>
            <w:r w:rsidRPr="00CD2781">
              <w:rPr>
                <w:rFonts w:ascii="Tahoma" w:hAnsi="Tahoma" w:cs="Tahoma"/>
                <w:sz w:val="20"/>
                <w:szCs w:val="20"/>
              </w:rPr>
              <w:t xml:space="preserve">             </w:t>
            </w:r>
            <w:r w:rsidRPr="00CD2781">
              <w:rPr>
                <w:rFonts w:ascii="Tahoma" w:hAnsi="Tahoma" w:cs="Tahoma"/>
                <w:b/>
                <w:bCs/>
                <w:sz w:val="20"/>
                <w:szCs w:val="20"/>
                <w:u w:val="single"/>
              </w:rPr>
              <w:t>Otras consideraciones.</w:t>
            </w:r>
          </w:p>
          <w:p w:rsidR="00A266E4" w:rsidRPr="00CD2781" w:rsidRDefault="00A266E4" w:rsidP="00CD2781">
            <w:pPr>
              <w:rPr>
                <w:rFonts w:ascii="Tahoma" w:hAnsi="Tahoma" w:cs="Tahoma"/>
                <w:sz w:val="20"/>
                <w:szCs w:val="20"/>
              </w:rPr>
            </w:pPr>
            <w:r w:rsidRPr="00CD2781">
              <w:rPr>
                <w:rFonts w:ascii="Tahoma" w:hAnsi="Tahoma" w:cs="Tahoma"/>
                <w:sz w:val="20"/>
                <w:szCs w:val="20"/>
              </w:rPr>
              <w:t xml:space="preserve">                Las tapas llevarán en la cara externa los siguientes rótulos:</w:t>
            </w:r>
          </w:p>
          <w:p w:rsidR="00A266E4" w:rsidRPr="00CD2781" w:rsidRDefault="00A266E4" w:rsidP="00A266E4">
            <w:pPr>
              <w:numPr>
                <w:ilvl w:val="0"/>
                <w:numId w:val="17"/>
              </w:numPr>
              <w:spacing w:after="0" w:line="240" w:lineRule="auto"/>
              <w:rPr>
                <w:rFonts w:ascii="Tahoma" w:hAnsi="Tahoma" w:cs="Tahoma"/>
                <w:sz w:val="20"/>
                <w:szCs w:val="20"/>
              </w:rPr>
            </w:pPr>
            <w:r w:rsidRPr="00CD2781">
              <w:rPr>
                <w:rFonts w:ascii="Tahoma" w:hAnsi="Tahoma" w:cs="Tahoma"/>
                <w:sz w:val="20"/>
                <w:szCs w:val="20"/>
              </w:rPr>
              <w:t>El logo de SEDAPAL</w:t>
            </w:r>
          </w:p>
          <w:p w:rsidR="00A266E4" w:rsidRPr="00CD2781" w:rsidRDefault="00A266E4" w:rsidP="00A266E4">
            <w:pPr>
              <w:numPr>
                <w:ilvl w:val="0"/>
                <w:numId w:val="17"/>
              </w:numPr>
              <w:spacing w:after="0" w:line="240" w:lineRule="auto"/>
              <w:rPr>
                <w:rFonts w:ascii="Tahoma" w:hAnsi="Tahoma" w:cs="Tahoma"/>
                <w:sz w:val="20"/>
                <w:szCs w:val="20"/>
              </w:rPr>
            </w:pPr>
            <w:r w:rsidRPr="00CD2781">
              <w:rPr>
                <w:rFonts w:ascii="Tahoma" w:hAnsi="Tahoma" w:cs="Tahoma"/>
                <w:sz w:val="20"/>
                <w:szCs w:val="20"/>
              </w:rPr>
              <w:t>Fecha de fabricación</w:t>
            </w:r>
          </w:p>
          <w:p w:rsidR="00A266E4" w:rsidRPr="00CD2781" w:rsidRDefault="00A266E4" w:rsidP="00A266E4">
            <w:pPr>
              <w:numPr>
                <w:ilvl w:val="0"/>
                <w:numId w:val="17"/>
              </w:numPr>
              <w:spacing w:after="0" w:line="240" w:lineRule="auto"/>
              <w:rPr>
                <w:rFonts w:ascii="Tahoma" w:hAnsi="Tahoma" w:cs="Tahoma"/>
                <w:sz w:val="20"/>
                <w:szCs w:val="20"/>
              </w:rPr>
            </w:pPr>
            <w:r w:rsidRPr="00CD2781">
              <w:rPr>
                <w:rFonts w:ascii="Tahoma" w:hAnsi="Tahoma" w:cs="Tahoma"/>
                <w:sz w:val="20"/>
                <w:szCs w:val="20"/>
              </w:rPr>
              <w:t>Tipo de material.</w:t>
            </w:r>
          </w:p>
          <w:p w:rsidR="00A266E4" w:rsidRPr="00CD2781" w:rsidRDefault="00A266E4" w:rsidP="00CD2781">
            <w:pPr>
              <w:ind w:left="416"/>
              <w:jc w:val="both"/>
              <w:rPr>
                <w:rFonts w:ascii="Tahoma" w:hAnsi="Tahoma" w:cs="Tahoma"/>
                <w:sz w:val="20"/>
                <w:szCs w:val="20"/>
              </w:rPr>
            </w:pPr>
            <w:r w:rsidRPr="00CD2781">
              <w:rPr>
                <w:rFonts w:ascii="Tahoma" w:hAnsi="Tahoma" w:cs="Tahoma"/>
                <w:sz w:val="20"/>
                <w:szCs w:val="20"/>
              </w:rPr>
              <w:t>Con la finalidad de asegurar que los bienes ofertados cumplan con las especificaciones técnicas, los postores deberán adjuntar en su propuesta técnica un certificado de calidad emitido por un laboratorio certificado y aprobado por INDECOPI, sobre el cumplimiento de la NTP 339.111: Resistencia Carga Puntual 12 000Kg.</w:t>
            </w:r>
          </w:p>
          <w:p w:rsidR="00A266E4" w:rsidRPr="00CD2781" w:rsidRDefault="00A266E4" w:rsidP="00CD2781">
            <w:pPr>
              <w:rPr>
                <w:rFonts w:ascii="Tahoma" w:hAnsi="Tahoma" w:cs="Tahoma"/>
                <w:b/>
                <w:bCs/>
                <w:sz w:val="20"/>
                <w:szCs w:val="20"/>
                <w:u w:val="single"/>
              </w:rPr>
            </w:pPr>
            <w:r w:rsidRPr="00CD2781">
              <w:rPr>
                <w:rFonts w:ascii="Tahoma" w:hAnsi="Tahoma" w:cs="Tahoma"/>
                <w:b/>
                <w:bCs/>
                <w:sz w:val="20"/>
                <w:szCs w:val="20"/>
              </w:rPr>
              <w:t xml:space="preserve">IV.  </w:t>
            </w:r>
            <w:r w:rsidRPr="00CD2781">
              <w:rPr>
                <w:rFonts w:ascii="Tahoma" w:hAnsi="Tahoma" w:cs="Tahoma"/>
                <w:b/>
                <w:bCs/>
                <w:sz w:val="20"/>
                <w:szCs w:val="20"/>
                <w:u w:val="single"/>
              </w:rPr>
              <w:t>UNIDAD DE MEDIDA</w:t>
            </w:r>
          </w:p>
          <w:p w:rsidR="00A266E4" w:rsidRPr="00CD2781" w:rsidRDefault="00A266E4" w:rsidP="00CD2781">
            <w:pPr>
              <w:rPr>
                <w:rFonts w:ascii="Tahoma" w:hAnsi="Tahoma" w:cs="Tahoma"/>
                <w:sz w:val="20"/>
                <w:szCs w:val="20"/>
              </w:rPr>
            </w:pPr>
            <w:r w:rsidRPr="00CD2781">
              <w:rPr>
                <w:rFonts w:ascii="Tahoma" w:hAnsi="Tahoma" w:cs="Tahoma"/>
                <w:sz w:val="20"/>
                <w:szCs w:val="20"/>
              </w:rPr>
              <w:t xml:space="preserve">       Unidad</w:t>
            </w:r>
          </w:p>
          <w:p w:rsidR="00A266E4" w:rsidRPr="00CD2781" w:rsidRDefault="00A266E4" w:rsidP="00CD2781">
            <w:pPr>
              <w:rPr>
                <w:rFonts w:ascii="Tahoma" w:hAnsi="Tahoma" w:cs="Tahoma"/>
                <w:b/>
                <w:bCs/>
                <w:sz w:val="20"/>
                <w:szCs w:val="20"/>
                <w:u w:val="single"/>
              </w:rPr>
            </w:pPr>
            <w:r w:rsidRPr="00CD2781">
              <w:rPr>
                <w:rFonts w:ascii="Tahoma" w:hAnsi="Tahoma" w:cs="Tahoma"/>
                <w:b/>
                <w:bCs/>
                <w:sz w:val="20"/>
                <w:szCs w:val="20"/>
              </w:rPr>
              <w:t xml:space="preserve">V.    </w:t>
            </w:r>
            <w:r w:rsidRPr="00CD2781">
              <w:rPr>
                <w:rFonts w:ascii="Tahoma" w:hAnsi="Tahoma" w:cs="Tahoma"/>
                <w:b/>
                <w:bCs/>
                <w:sz w:val="20"/>
                <w:szCs w:val="20"/>
                <w:u w:val="single"/>
              </w:rPr>
              <w:t>USO</w:t>
            </w:r>
          </w:p>
          <w:p w:rsidR="00A266E4" w:rsidRPr="00CD2781" w:rsidRDefault="00A266E4" w:rsidP="00CD2781">
            <w:pPr>
              <w:jc w:val="both"/>
              <w:rPr>
                <w:rFonts w:ascii="Tahoma" w:hAnsi="Tahoma" w:cs="Tahoma"/>
                <w:sz w:val="20"/>
                <w:szCs w:val="20"/>
                <w:highlight w:val="yellow"/>
              </w:rPr>
            </w:pPr>
            <w:r w:rsidRPr="00CD2781">
              <w:rPr>
                <w:rFonts w:ascii="Tahoma" w:hAnsi="Tahoma" w:cs="Tahoma"/>
                <w:sz w:val="20"/>
                <w:szCs w:val="20"/>
              </w:rPr>
              <w:t>Este sistema será usado en buzones de inspección de las redes públicas del sistema de alcantarillado</w:t>
            </w:r>
          </w:p>
        </w:tc>
      </w:tr>
    </w:tbl>
    <w:p w:rsidR="00A266E4" w:rsidRPr="00CD2781" w:rsidRDefault="00A266E4" w:rsidP="00A266E4">
      <w:pPr>
        <w:rPr>
          <w:rFonts w:ascii="Tahoma" w:hAnsi="Tahoma" w:cs="Tahoma"/>
          <w:sz w:val="20"/>
          <w:szCs w:val="20"/>
        </w:rPr>
      </w:pPr>
      <w:r w:rsidRPr="00CD2781">
        <w:rPr>
          <w:rFonts w:ascii="Tahoma" w:hAnsi="Tahoma" w:cs="Tahoma"/>
          <w:sz w:val="20"/>
          <w:szCs w:val="20"/>
        </w:rPr>
        <w:lastRenderedPageBreak/>
        <w:t xml:space="preserve">        </w:t>
      </w:r>
    </w:p>
    <w:p w:rsidR="00A266E4" w:rsidRPr="00CD2781" w:rsidRDefault="00A266E4" w:rsidP="00A266E4">
      <w:pPr>
        <w:numPr>
          <w:ilvl w:val="0"/>
          <w:numId w:val="15"/>
        </w:numPr>
        <w:spacing w:after="0" w:line="240" w:lineRule="auto"/>
        <w:jc w:val="both"/>
        <w:rPr>
          <w:rFonts w:ascii="Tahoma" w:hAnsi="Tahoma" w:cs="Tahoma"/>
          <w:sz w:val="20"/>
          <w:szCs w:val="20"/>
        </w:rPr>
      </w:pPr>
      <w:r w:rsidRPr="00CD2781">
        <w:rPr>
          <w:rFonts w:ascii="Tahoma" w:hAnsi="Tahoma" w:cs="Tahoma"/>
          <w:sz w:val="20"/>
          <w:szCs w:val="20"/>
        </w:rPr>
        <w:t>Como puede evidenciarse, las características descritas, se encuentran acorde a la Norma Técnica Peruana 339.111.1997, la que reemplazó a la NTP 339.111.1982, condiciones previamente conocidas por los postores antes de presentarse al proceso de selección.</w:t>
      </w:r>
    </w:p>
    <w:p w:rsidR="00A266E4" w:rsidRPr="00CD2781" w:rsidRDefault="00A266E4" w:rsidP="00A266E4">
      <w:pPr>
        <w:numPr>
          <w:ilvl w:val="0"/>
          <w:numId w:val="15"/>
        </w:numPr>
        <w:spacing w:after="0" w:line="240" w:lineRule="auto"/>
        <w:jc w:val="both"/>
        <w:rPr>
          <w:rFonts w:ascii="Tahoma" w:hAnsi="Tahoma" w:cs="Tahoma"/>
          <w:sz w:val="20"/>
          <w:szCs w:val="20"/>
        </w:rPr>
      </w:pPr>
      <w:r w:rsidRPr="00CD2781">
        <w:rPr>
          <w:rFonts w:ascii="Tahoma" w:hAnsi="Tahoma" w:cs="Tahoma"/>
          <w:sz w:val="20"/>
          <w:szCs w:val="20"/>
        </w:rPr>
        <w:t xml:space="preserve">Asimismo, del resultado de ambos informes, se evidencia que las dos (02) muestras del lote entregado a efectos de que le sean practicadas  las pruebas de conformidad respectivas, de cuyo resultado los Informes Nº INF-LE 013-2010 del 23.01.2010 e </w:t>
      </w:r>
      <w:r w:rsidRPr="00CD2781">
        <w:rPr>
          <w:rFonts w:ascii="Tahoma" w:hAnsi="Tahoma" w:cs="Tahoma"/>
          <w:sz w:val="20"/>
          <w:szCs w:val="20"/>
        </w:rPr>
        <w:lastRenderedPageBreak/>
        <w:t xml:space="preserve">INF-LE-066-10 del 25.02.2010, establecieron que las muestras indicadas no cumplían con los parámetros de altitud (10.5 cm), resistencia a la carga puntual y carga de rotura (20 TN) que deben soportar de acuerdo a la Norma Técnica Peruana 331.111, establecido con requerimientos técnicos mínimos en las bases del proceso y ofertados en la propuesta del </w:t>
      </w:r>
      <w:r w:rsidR="00E70F61" w:rsidRPr="00CD2781">
        <w:rPr>
          <w:rFonts w:ascii="Tahoma" w:hAnsi="Tahoma" w:cs="Tahoma"/>
          <w:sz w:val="20"/>
          <w:szCs w:val="20"/>
        </w:rPr>
        <w:t>contratista</w:t>
      </w:r>
      <w:r w:rsidRPr="00CD2781">
        <w:rPr>
          <w:rFonts w:ascii="Tahoma" w:hAnsi="Tahoma" w:cs="Tahoma"/>
          <w:sz w:val="20"/>
          <w:szCs w:val="20"/>
        </w:rPr>
        <w:t>.</w:t>
      </w:r>
    </w:p>
    <w:p w:rsidR="00E70F61" w:rsidRDefault="00E70F61" w:rsidP="00A266E4">
      <w:pPr>
        <w:ind w:left="360"/>
        <w:jc w:val="both"/>
        <w:rPr>
          <w:rFonts w:ascii="Tahoma" w:hAnsi="Tahoma" w:cs="Tahoma"/>
          <w:b/>
          <w:bCs/>
          <w:i/>
          <w:iCs/>
          <w:sz w:val="20"/>
          <w:szCs w:val="20"/>
        </w:rPr>
      </w:pPr>
    </w:p>
    <w:p w:rsidR="00A266E4" w:rsidRPr="00CD2781" w:rsidRDefault="00A266E4" w:rsidP="00A266E4">
      <w:pPr>
        <w:ind w:left="360"/>
        <w:jc w:val="both"/>
        <w:rPr>
          <w:rFonts w:ascii="Tahoma" w:hAnsi="Tahoma" w:cs="Tahoma"/>
          <w:b/>
          <w:bCs/>
          <w:i/>
          <w:iCs/>
          <w:sz w:val="20"/>
          <w:szCs w:val="20"/>
        </w:rPr>
      </w:pPr>
      <w:r w:rsidRPr="00CD2781">
        <w:rPr>
          <w:rFonts w:ascii="Tahoma" w:hAnsi="Tahoma" w:cs="Tahoma"/>
          <w:b/>
          <w:bCs/>
          <w:i/>
          <w:iCs/>
          <w:sz w:val="20"/>
          <w:szCs w:val="20"/>
        </w:rPr>
        <w:t>Argumentos de Defensa presentados por el Contratista</w:t>
      </w:r>
    </w:p>
    <w:p w:rsidR="00E70F61" w:rsidRDefault="00A266E4" w:rsidP="00E70F61">
      <w:pPr>
        <w:numPr>
          <w:ilvl w:val="0"/>
          <w:numId w:val="15"/>
        </w:numPr>
        <w:spacing w:after="0" w:line="240" w:lineRule="auto"/>
        <w:jc w:val="both"/>
        <w:rPr>
          <w:rFonts w:ascii="Tahoma" w:hAnsi="Tahoma" w:cs="Tahoma"/>
          <w:sz w:val="20"/>
          <w:szCs w:val="20"/>
        </w:rPr>
      </w:pPr>
      <w:r w:rsidRPr="00CD2781">
        <w:rPr>
          <w:rFonts w:ascii="Tahoma" w:hAnsi="Tahoma" w:cs="Tahoma"/>
          <w:sz w:val="20"/>
          <w:szCs w:val="20"/>
        </w:rPr>
        <w:t>Al ejercer su derecho de defensa, el Contratista alegó que de manera previa a la participación en la L.P.Nº 009-2009-sedapal, la empresa San Martin había iniciado gestiones con la empresa mexicana NACIONAL RECUPERADORA  S.A. de C.V.  fabricante de las tapas de polietileno, obteniendo la designación como distribuidor exclusivo en el Perú para los productos de plástico de la red de alcantarillado que fabrica dicha empresa.</w:t>
      </w:r>
    </w:p>
    <w:p w:rsidR="00E70F61" w:rsidRDefault="00E70F61" w:rsidP="00E70F61">
      <w:pPr>
        <w:spacing w:after="0" w:line="240" w:lineRule="auto"/>
        <w:ind w:left="644"/>
        <w:jc w:val="both"/>
        <w:rPr>
          <w:rFonts w:ascii="Tahoma" w:hAnsi="Tahoma" w:cs="Tahoma"/>
          <w:sz w:val="20"/>
          <w:szCs w:val="20"/>
        </w:rPr>
      </w:pPr>
    </w:p>
    <w:p w:rsidR="00A266E4" w:rsidRPr="00E70F61" w:rsidRDefault="00A266E4" w:rsidP="00E70F61">
      <w:pPr>
        <w:spacing w:after="0" w:line="240" w:lineRule="auto"/>
        <w:ind w:left="644"/>
        <w:jc w:val="both"/>
        <w:rPr>
          <w:rFonts w:ascii="Tahoma" w:hAnsi="Tahoma" w:cs="Tahoma"/>
          <w:sz w:val="20"/>
          <w:szCs w:val="20"/>
        </w:rPr>
      </w:pPr>
      <w:r w:rsidRPr="00E70F61">
        <w:rPr>
          <w:rFonts w:ascii="Tahoma" w:hAnsi="Tahoma" w:cs="Tahoma"/>
          <w:sz w:val="20"/>
          <w:szCs w:val="20"/>
        </w:rPr>
        <w:t>A fin de cumplir con la entrega de las tapas den las condiciones solicitadas, se requirió al fabricante NARESA se comprometa a cumplir las especificaciones técnicas y los requerimientos técnico mínimos, el plazo de entrega y la garantía de los productos de 18 meses por cualquier defecto de fabricación.</w:t>
      </w:r>
    </w:p>
    <w:p w:rsidR="00A266E4" w:rsidRPr="00CD2781" w:rsidRDefault="00A266E4" w:rsidP="00A266E4">
      <w:pPr>
        <w:ind w:left="360"/>
        <w:jc w:val="both"/>
        <w:rPr>
          <w:rFonts w:ascii="Tahoma" w:hAnsi="Tahoma" w:cs="Tahoma"/>
          <w:sz w:val="20"/>
          <w:szCs w:val="20"/>
        </w:rPr>
      </w:pPr>
    </w:p>
    <w:p w:rsidR="00A63ABE" w:rsidRDefault="00A266E4" w:rsidP="00A63ABE">
      <w:pPr>
        <w:numPr>
          <w:ilvl w:val="0"/>
          <w:numId w:val="15"/>
        </w:numPr>
        <w:spacing w:after="0" w:line="240" w:lineRule="auto"/>
        <w:jc w:val="both"/>
        <w:rPr>
          <w:rFonts w:ascii="Tahoma" w:hAnsi="Tahoma" w:cs="Tahoma"/>
          <w:sz w:val="20"/>
          <w:szCs w:val="20"/>
        </w:rPr>
      </w:pPr>
      <w:r w:rsidRPr="00CD2781">
        <w:rPr>
          <w:rFonts w:ascii="Tahoma" w:hAnsi="Tahoma" w:cs="Tahoma"/>
          <w:sz w:val="20"/>
          <w:szCs w:val="20"/>
        </w:rPr>
        <w:t>Asimismo, se le solicitó un Informe de Ensayo del Laboratorio de Estructuras de la PUCP INF-LE262-09, de fecha 05 de agosto de 2009, sobre la muestra de una tapa proporcionada por NARESA, obteniéndose como resultado que las tapas no presentaron fisuras ni comportamientos irregulares a simple vista.</w:t>
      </w:r>
    </w:p>
    <w:p w:rsidR="00A63ABE" w:rsidRDefault="00A63ABE" w:rsidP="00A63ABE">
      <w:pPr>
        <w:spacing w:after="0" w:line="240" w:lineRule="auto"/>
        <w:ind w:left="644"/>
        <w:jc w:val="both"/>
        <w:rPr>
          <w:rFonts w:ascii="Tahoma" w:hAnsi="Tahoma" w:cs="Tahoma"/>
          <w:sz w:val="20"/>
          <w:szCs w:val="20"/>
        </w:rPr>
      </w:pPr>
    </w:p>
    <w:p w:rsidR="00A63ABE" w:rsidRDefault="00A63ABE" w:rsidP="00A63ABE">
      <w:pPr>
        <w:spacing w:after="0" w:line="240" w:lineRule="auto"/>
        <w:ind w:left="644"/>
        <w:jc w:val="both"/>
        <w:rPr>
          <w:rFonts w:ascii="Tahoma" w:hAnsi="Tahoma" w:cs="Tahoma"/>
          <w:sz w:val="20"/>
          <w:szCs w:val="20"/>
        </w:rPr>
      </w:pPr>
      <w:r w:rsidRPr="00A63ABE">
        <w:rPr>
          <w:rFonts w:ascii="Tahoma" w:hAnsi="Tahoma" w:cs="Tahoma"/>
          <w:sz w:val="20"/>
          <w:szCs w:val="20"/>
        </w:rPr>
        <w:t>Adicionalmente, la empresa NARESA remitió al Contratista un correo electrónico que contenía como archivo adjunto una prueba mecánica de calidad practicada  a la tapa para pozo de vista económico con logo Perú, en dicha prueba dos tapas no tuvieron rupturas.</w:t>
      </w:r>
    </w:p>
    <w:p w:rsidR="00A63ABE" w:rsidRDefault="00A63ABE" w:rsidP="00A63ABE">
      <w:pPr>
        <w:spacing w:after="0" w:line="240" w:lineRule="auto"/>
        <w:ind w:left="644"/>
        <w:jc w:val="both"/>
        <w:rPr>
          <w:rFonts w:ascii="Tahoma" w:hAnsi="Tahoma" w:cs="Tahoma"/>
          <w:sz w:val="20"/>
          <w:szCs w:val="20"/>
        </w:rPr>
      </w:pPr>
    </w:p>
    <w:p w:rsidR="00A266E4" w:rsidRPr="00A63ABE" w:rsidRDefault="00A266E4" w:rsidP="00A63ABE">
      <w:pPr>
        <w:numPr>
          <w:ilvl w:val="0"/>
          <w:numId w:val="15"/>
        </w:numPr>
        <w:spacing w:after="0" w:line="240" w:lineRule="auto"/>
        <w:jc w:val="both"/>
        <w:rPr>
          <w:rFonts w:ascii="Tahoma" w:hAnsi="Tahoma" w:cs="Tahoma"/>
          <w:sz w:val="20"/>
          <w:szCs w:val="20"/>
        </w:rPr>
      </w:pPr>
      <w:r w:rsidRPr="00A63ABE">
        <w:rPr>
          <w:rFonts w:ascii="Tahoma" w:hAnsi="Tahoma" w:cs="Tahoma"/>
          <w:sz w:val="20"/>
          <w:szCs w:val="20"/>
        </w:rPr>
        <w:t xml:space="preserve">A pesar de las pruebas técnicas remitidas por el fabricante, que avalaban el producto a ofertar, los Lotes remitidos a la Entidad no pasaron las evaluaciones de resistencia y pruebas de conformidad, lo cual nos obligó a exigir a NARESA la garantía por defectos de fabricación. No obstante, nuestra representada exigió a NARESA la remisión de las “tapas” conforme a los requerimientos técnicos señalados en las Bases, siendo que éste no pudo ser solucionado al incumplir el fabricante con las especificaciones técnicas requeridas por la Entidad, </w:t>
      </w:r>
      <w:r w:rsidRPr="00A63ABE">
        <w:rPr>
          <w:rFonts w:ascii="Tahoma" w:hAnsi="Tahoma" w:cs="Tahoma"/>
          <w:sz w:val="20"/>
          <w:szCs w:val="20"/>
          <w:u w:val="single"/>
        </w:rPr>
        <w:t>siendo evidente que se trata de una falla de fabricación del producto</w:t>
      </w:r>
      <w:r w:rsidRPr="00A63ABE">
        <w:rPr>
          <w:rFonts w:ascii="Tahoma" w:hAnsi="Tahoma" w:cs="Tahoma"/>
          <w:sz w:val="20"/>
          <w:szCs w:val="20"/>
        </w:rPr>
        <w:t>.</w:t>
      </w:r>
    </w:p>
    <w:p w:rsidR="00A63ABE" w:rsidRDefault="00A63ABE" w:rsidP="00A266E4">
      <w:pPr>
        <w:ind w:left="360"/>
        <w:jc w:val="both"/>
        <w:rPr>
          <w:rFonts w:ascii="Tahoma" w:hAnsi="Tahoma" w:cs="Tahoma"/>
          <w:b/>
          <w:bCs/>
          <w:sz w:val="20"/>
          <w:szCs w:val="20"/>
          <w:u w:val="single"/>
        </w:rPr>
      </w:pPr>
    </w:p>
    <w:p w:rsidR="00A266E4" w:rsidRPr="00CD2781" w:rsidRDefault="00A266E4" w:rsidP="00A266E4">
      <w:pPr>
        <w:ind w:left="360"/>
        <w:jc w:val="both"/>
        <w:rPr>
          <w:rFonts w:ascii="Tahoma" w:hAnsi="Tahoma" w:cs="Tahoma"/>
          <w:sz w:val="20"/>
          <w:szCs w:val="20"/>
        </w:rPr>
      </w:pPr>
      <w:r w:rsidRPr="00CD2781">
        <w:rPr>
          <w:rFonts w:ascii="Tahoma" w:hAnsi="Tahoma" w:cs="Tahoma"/>
          <w:b/>
          <w:bCs/>
          <w:sz w:val="20"/>
          <w:szCs w:val="20"/>
          <w:u w:val="single"/>
        </w:rPr>
        <w:t>Análisis del Tribunal sobre los hechos imputados</w:t>
      </w:r>
      <w:r w:rsidRPr="00CD2781">
        <w:rPr>
          <w:rFonts w:ascii="Tahoma" w:hAnsi="Tahoma" w:cs="Tahoma"/>
          <w:sz w:val="20"/>
          <w:szCs w:val="20"/>
        </w:rPr>
        <w:t>:</w:t>
      </w:r>
    </w:p>
    <w:p w:rsidR="00A266E4" w:rsidRDefault="00A266E4" w:rsidP="00A266E4">
      <w:pPr>
        <w:numPr>
          <w:ilvl w:val="0"/>
          <w:numId w:val="15"/>
        </w:numPr>
        <w:spacing w:after="0" w:line="240" w:lineRule="auto"/>
        <w:jc w:val="both"/>
        <w:rPr>
          <w:rFonts w:ascii="Tahoma" w:hAnsi="Tahoma" w:cs="Tahoma"/>
          <w:sz w:val="20"/>
          <w:szCs w:val="20"/>
        </w:rPr>
      </w:pPr>
      <w:r w:rsidRPr="00CD2781">
        <w:rPr>
          <w:rFonts w:ascii="Tahoma" w:hAnsi="Tahoma" w:cs="Tahoma"/>
          <w:sz w:val="20"/>
          <w:szCs w:val="20"/>
        </w:rPr>
        <w:t xml:space="preserve"> Llegados a este punto, y desde la perspectiva del Código Civil norma de aplicación supletoria, se establece el art. 1314 del Código Civil que “</w:t>
      </w:r>
      <w:r w:rsidRPr="00CD2781">
        <w:rPr>
          <w:rFonts w:ascii="Tahoma" w:hAnsi="Tahoma" w:cs="Tahoma"/>
          <w:i/>
          <w:iCs/>
          <w:sz w:val="20"/>
          <w:szCs w:val="20"/>
        </w:rPr>
        <w:t>quien actúa con</w:t>
      </w:r>
      <w:r w:rsidRPr="00CD2781">
        <w:rPr>
          <w:rFonts w:ascii="Tahoma" w:hAnsi="Tahoma" w:cs="Tahoma"/>
          <w:sz w:val="20"/>
          <w:szCs w:val="20"/>
        </w:rPr>
        <w:t xml:space="preserve"> </w:t>
      </w:r>
      <w:r w:rsidRPr="00CD2781">
        <w:rPr>
          <w:rFonts w:ascii="Tahoma" w:hAnsi="Tahoma" w:cs="Tahoma"/>
          <w:i/>
          <w:iCs/>
          <w:sz w:val="20"/>
          <w:szCs w:val="20"/>
        </w:rPr>
        <w:t>la diligencia ordinaria requerida, no es imputable por la inejecución de la obligación</w:t>
      </w:r>
      <w:r w:rsidRPr="00CD2781">
        <w:rPr>
          <w:rFonts w:ascii="Tahoma" w:hAnsi="Tahoma" w:cs="Tahoma"/>
          <w:sz w:val="20"/>
          <w:szCs w:val="20"/>
        </w:rPr>
        <w:t xml:space="preserve"> </w:t>
      </w:r>
      <w:r w:rsidRPr="00CD2781">
        <w:rPr>
          <w:rFonts w:ascii="Tahoma" w:hAnsi="Tahoma" w:cs="Tahoma"/>
          <w:i/>
          <w:iCs/>
          <w:sz w:val="20"/>
          <w:szCs w:val="20"/>
        </w:rPr>
        <w:t>o por su cumplimiento parcial, tardío o defectuoso</w:t>
      </w:r>
      <w:r w:rsidRPr="00CD2781">
        <w:rPr>
          <w:rFonts w:ascii="Tahoma" w:hAnsi="Tahoma" w:cs="Tahoma"/>
          <w:sz w:val="20"/>
          <w:szCs w:val="20"/>
        </w:rPr>
        <w:t xml:space="preserve">”. La ley presume que el incumplimiento o cumplimiento defectuoso son imputables al deudor a título de culpa leve. Lo que comporta que, el deudor - fabricante o vendedor- puede liberarse de responsabilidad probando su ausencia de culpa en la entrega del producto, lo que no </w:t>
      </w:r>
      <w:r w:rsidRPr="00CD2781">
        <w:rPr>
          <w:rFonts w:ascii="Tahoma" w:hAnsi="Tahoma" w:cs="Tahoma"/>
          <w:sz w:val="20"/>
          <w:szCs w:val="20"/>
        </w:rPr>
        <w:lastRenderedPageBreak/>
        <w:t xml:space="preserve">significa necesariamente que tenga que probar el caso fortuito o la fuerza mayor. El fabricante se libera probando que cumplió con realizar los controles de calidad pertinentes (si es el caso de los defectos de fabricación), o que no era razonablemente posible elaborar un producto más seguro (si se trata de un defecto de diseño). Para el vendedor, en cambio, la prueba de la ausencia de culpa resulta más fácil, desde que, en su calidad de tal, </w:t>
      </w:r>
      <w:r w:rsidRPr="00CD2781">
        <w:rPr>
          <w:rFonts w:ascii="Tahoma" w:hAnsi="Tahoma" w:cs="Tahoma"/>
          <w:sz w:val="20"/>
          <w:szCs w:val="20"/>
          <w:u w:val="single"/>
        </w:rPr>
        <w:t>bastaría que pruebe que no resultaba razonable realizar la investigación que hubiese sido necesaria para descubrir el defecto</w:t>
      </w:r>
      <w:r w:rsidRPr="00CD2781">
        <w:rPr>
          <w:rFonts w:ascii="Tahoma" w:hAnsi="Tahoma" w:cs="Tahoma"/>
          <w:sz w:val="20"/>
          <w:szCs w:val="20"/>
        </w:rPr>
        <w:t>.</w:t>
      </w:r>
    </w:p>
    <w:p w:rsidR="00A63ABE" w:rsidRDefault="00A63ABE" w:rsidP="00A63ABE">
      <w:pPr>
        <w:spacing w:after="0" w:line="240" w:lineRule="auto"/>
        <w:ind w:left="644"/>
        <w:jc w:val="both"/>
        <w:rPr>
          <w:rFonts w:ascii="Tahoma" w:hAnsi="Tahoma" w:cs="Tahoma"/>
          <w:sz w:val="20"/>
          <w:szCs w:val="20"/>
        </w:rPr>
      </w:pPr>
    </w:p>
    <w:p w:rsidR="00A63ABE" w:rsidRDefault="00A266E4" w:rsidP="00A63ABE">
      <w:pPr>
        <w:numPr>
          <w:ilvl w:val="0"/>
          <w:numId w:val="15"/>
        </w:numPr>
        <w:spacing w:after="0" w:line="240" w:lineRule="auto"/>
        <w:jc w:val="both"/>
        <w:rPr>
          <w:rFonts w:ascii="Tahoma" w:hAnsi="Tahoma" w:cs="Tahoma"/>
          <w:sz w:val="20"/>
          <w:szCs w:val="20"/>
        </w:rPr>
      </w:pPr>
      <w:r w:rsidRPr="00A63ABE">
        <w:rPr>
          <w:rFonts w:ascii="Tahoma" w:hAnsi="Tahoma" w:cs="Tahoma"/>
          <w:sz w:val="20"/>
          <w:szCs w:val="20"/>
        </w:rPr>
        <w:t>Esto hace que los efectos distributivos en los que el deudor se vale de un “tercero” para la ejecución de la prestación, comporte un nivel mínimo de garantía y de calidad exigible, exigiéndoles niveles de precaución y de actividad adecuadas, es decir responsabilidades específicas, en tal sentido, no cabe duda que quien asume de forma habitual de sus ocupaciones el comercio, ejerce una actividad que no sólo requiere una pericia sino una prudencia especial, que en este caso, le hace especialmente conocedor de los requisitos y obligaciones de toda índole inherente a la compra venta de “ tapas de polietileno”.</w:t>
      </w:r>
    </w:p>
    <w:p w:rsidR="00A63ABE" w:rsidRDefault="00A63ABE" w:rsidP="00A63ABE">
      <w:pPr>
        <w:pStyle w:val="Prrafodelista"/>
        <w:rPr>
          <w:rFonts w:ascii="Tahoma" w:hAnsi="Tahoma" w:cs="Tahoma"/>
          <w:sz w:val="20"/>
        </w:rPr>
      </w:pPr>
    </w:p>
    <w:p w:rsidR="00A63ABE" w:rsidRDefault="00A266E4" w:rsidP="00A63ABE">
      <w:pPr>
        <w:numPr>
          <w:ilvl w:val="0"/>
          <w:numId w:val="15"/>
        </w:numPr>
        <w:spacing w:after="0" w:line="240" w:lineRule="auto"/>
        <w:jc w:val="both"/>
        <w:rPr>
          <w:rFonts w:ascii="Tahoma" w:hAnsi="Tahoma" w:cs="Tahoma"/>
          <w:sz w:val="20"/>
          <w:szCs w:val="20"/>
        </w:rPr>
      </w:pPr>
      <w:r w:rsidRPr="00A63ABE">
        <w:rPr>
          <w:rFonts w:ascii="Tahoma" w:hAnsi="Tahoma" w:cs="Tahoma"/>
          <w:sz w:val="20"/>
          <w:szCs w:val="20"/>
        </w:rPr>
        <w:t xml:space="preserve">De notar es, con todo, que las informaciones a que acaba de aludirse sólo se pondrán de manifiesto cuando exista una duda previa que justifique “el impulso del esclarecimiento”. En ese sentido, este impulso de esclarecimiento queda justificada en la medida que el Contratista tomó conocimiento a través de los emplazamientos de la Entidad que los primeros lotes entregados no cumplía con las especificaciones técnicas descritas, según los Informes emitidos por la Universidad Católica del Perú. En este supuesto, no resulta justificativo lo señalado por el Contratista en el sentido que su conducta desplegó lo razonablemente exigible para cumplir con su prestación, habida cuenta de que actuaba con perfecto conocimiento de las observaciones advertidas por la Entidad, con manifiesta negligencia </w:t>
      </w:r>
      <w:r w:rsidRPr="00A63ABE">
        <w:rPr>
          <w:rFonts w:ascii="Tahoma" w:hAnsi="Tahoma" w:cs="Tahoma"/>
          <w:sz w:val="20"/>
          <w:szCs w:val="20"/>
          <w:u w:val="single"/>
        </w:rPr>
        <w:t>al no intentar cerciorarse de que, efectivamente los bienes entregados, cumplían con las especificaciones técnicas requeridas</w:t>
      </w:r>
      <w:r w:rsidRPr="00A63ABE">
        <w:rPr>
          <w:rFonts w:ascii="Tahoma" w:hAnsi="Tahoma" w:cs="Tahoma"/>
          <w:sz w:val="20"/>
          <w:szCs w:val="20"/>
        </w:rPr>
        <w:t xml:space="preserve"> , ya que cualquiera fuese el origen del proceso de producción, la Contratista, antes de entregarla a la Entidad </w:t>
      </w:r>
      <w:r w:rsidRPr="00A63ABE">
        <w:rPr>
          <w:rFonts w:ascii="Tahoma" w:hAnsi="Tahoma" w:cs="Tahoma"/>
          <w:sz w:val="20"/>
          <w:szCs w:val="20"/>
          <w:u w:val="single"/>
        </w:rPr>
        <w:t>estaba obligada a analizarla y a comprobar la concordancia con lo que aparecía en las Bases</w:t>
      </w:r>
      <w:r w:rsidRPr="00A63ABE">
        <w:rPr>
          <w:rFonts w:ascii="Tahoma" w:hAnsi="Tahoma" w:cs="Tahoma"/>
          <w:sz w:val="20"/>
          <w:szCs w:val="20"/>
        </w:rPr>
        <w:t>.</w:t>
      </w:r>
    </w:p>
    <w:p w:rsidR="00A63ABE" w:rsidRDefault="00A63ABE" w:rsidP="00A63ABE">
      <w:pPr>
        <w:spacing w:after="0" w:line="240" w:lineRule="auto"/>
        <w:ind w:left="644"/>
        <w:jc w:val="both"/>
        <w:rPr>
          <w:rFonts w:ascii="Tahoma" w:hAnsi="Tahoma" w:cs="Tahoma"/>
          <w:sz w:val="20"/>
          <w:szCs w:val="20"/>
        </w:rPr>
      </w:pPr>
    </w:p>
    <w:p w:rsidR="00A63ABE" w:rsidRDefault="00A266E4" w:rsidP="00A63ABE">
      <w:pPr>
        <w:numPr>
          <w:ilvl w:val="0"/>
          <w:numId w:val="15"/>
        </w:numPr>
        <w:spacing w:after="0" w:line="240" w:lineRule="auto"/>
        <w:jc w:val="both"/>
        <w:rPr>
          <w:rFonts w:ascii="Tahoma" w:hAnsi="Tahoma" w:cs="Tahoma"/>
          <w:sz w:val="20"/>
          <w:szCs w:val="20"/>
        </w:rPr>
      </w:pPr>
      <w:r w:rsidRPr="00A63ABE">
        <w:rPr>
          <w:rFonts w:ascii="Tahoma" w:hAnsi="Tahoma" w:cs="Tahoma"/>
          <w:sz w:val="20"/>
          <w:szCs w:val="20"/>
        </w:rPr>
        <w:t>En un orden muy distinto de consideraciones es de tener en cuenta que lo alegado en el extremo de señalar que exigió al Fabricante la “Garantía por defecto de fabricación”, resulta irrelevante, en tanto el papel económico de dicha garantía es emitir señales de calidad de los productos y resarcir el daño, básicamente en las obligaciones que la Ley pone en la cadena de producción y comercialización de los bienes.</w:t>
      </w:r>
    </w:p>
    <w:p w:rsidR="00A63ABE" w:rsidRDefault="00A63ABE" w:rsidP="00A63ABE">
      <w:pPr>
        <w:pStyle w:val="Prrafodelista"/>
        <w:rPr>
          <w:rFonts w:ascii="Tahoma" w:hAnsi="Tahoma" w:cs="Tahoma"/>
          <w:sz w:val="20"/>
        </w:rPr>
      </w:pPr>
    </w:p>
    <w:p w:rsidR="00A266E4" w:rsidRDefault="00A266E4" w:rsidP="00A63ABE">
      <w:pPr>
        <w:numPr>
          <w:ilvl w:val="0"/>
          <w:numId w:val="15"/>
        </w:numPr>
        <w:spacing w:after="0" w:line="240" w:lineRule="auto"/>
        <w:jc w:val="both"/>
        <w:rPr>
          <w:rFonts w:ascii="Tahoma" w:hAnsi="Tahoma" w:cs="Tahoma"/>
          <w:sz w:val="20"/>
          <w:szCs w:val="20"/>
        </w:rPr>
      </w:pPr>
      <w:r w:rsidRPr="00A63ABE">
        <w:rPr>
          <w:rFonts w:ascii="Tahoma" w:hAnsi="Tahoma" w:cs="Tahoma"/>
          <w:sz w:val="20"/>
          <w:szCs w:val="20"/>
        </w:rPr>
        <w:t>Las consideraciones mencionadas nos permiten concluir que los argumentos esgrimidos por el Contratista como elementos de defensa para justificar su incumplimiento, no obedecen a un hecho</w:t>
      </w:r>
      <w:r w:rsidRPr="00A63ABE">
        <w:rPr>
          <w:rFonts w:ascii="Tahoma" w:hAnsi="Tahoma" w:cs="Tahoma"/>
          <w:b/>
          <w:bCs/>
          <w:sz w:val="20"/>
          <w:szCs w:val="20"/>
        </w:rPr>
        <w:t xml:space="preserve"> </w:t>
      </w:r>
      <w:r w:rsidRPr="00A63ABE">
        <w:rPr>
          <w:rFonts w:ascii="Tahoma" w:hAnsi="Tahoma" w:cs="Tahoma"/>
          <w:b/>
          <w:bCs/>
          <w:sz w:val="20"/>
          <w:szCs w:val="20"/>
          <w:lang w:val="es-PE"/>
        </w:rPr>
        <w:t>extraordinario, imprevisible, irresistible y que además le impida el cumplimento de sus obligaciones producto de un caso fortuito o de fuerza mayor</w:t>
      </w:r>
      <w:r w:rsidRPr="00A63ABE">
        <w:rPr>
          <w:rFonts w:ascii="Tahoma" w:hAnsi="Tahoma" w:cs="Tahoma"/>
          <w:sz w:val="20"/>
          <w:szCs w:val="20"/>
          <w:lang w:val="es-PE"/>
        </w:rPr>
        <w:t xml:space="preserve">. En consecuencia, </w:t>
      </w:r>
      <w:r w:rsidRPr="00A63ABE">
        <w:rPr>
          <w:rFonts w:ascii="Tahoma" w:hAnsi="Tahoma" w:cs="Tahoma"/>
          <w:sz w:val="20"/>
          <w:szCs w:val="20"/>
        </w:rPr>
        <w:t xml:space="preserve">este Colegiado concluye que  la resolución de Contrato Nº 254-2009-SEDAPAL le resulta atribuible. </w:t>
      </w:r>
    </w:p>
    <w:p w:rsidR="00A63ABE" w:rsidRDefault="00A63ABE" w:rsidP="00A63ABE">
      <w:pPr>
        <w:pStyle w:val="Prrafodelista"/>
        <w:rPr>
          <w:rFonts w:ascii="Tahoma" w:hAnsi="Tahoma" w:cs="Tahoma"/>
          <w:sz w:val="20"/>
        </w:rPr>
      </w:pPr>
    </w:p>
    <w:p w:rsidR="00A266E4" w:rsidRPr="00A63ABE" w:rsidRDefault="00A266E4" w:rsidP="00A63ABE">
      <w:pPr>
        <w:numPr>
          <w:ilvl w:val="0"/>
          <w:numId w:val="15"/>
        </w:numPr>
        <w:spacing w:after="0" w:line="240" w:lineRule="auto"/>
        <w:jc w:val="both"/>
        <w:rPr>
          <w:rFonts w:ascii="Tahoma" w:hAnsi="Tahoma" w:cs="Tahoma"/>
          <w:sz w:val="20"/>
          <w:szCs w:val="20"/>
        </w:rPr>
      </w:pPr>
      <w:r w:rsidRPr="00A63ABE">
        <w:rPr>
          <w:rFonts w:ascii="Tahoma" w:hAnsi="Tahoma" w:cs="Tahoma"/>
          <w:sz w:val="20"/>
          <w:szCs w:val="20"/>
        </w:rPr>
        <w:t>Por otro lado, el Contratista ha indicado que l</w:t>
      </w:r>
      <w:r w:rsidRPr="00A63ABE">
        <w:rPr>
          <w:rFonts w:ascii="Tahoma" w:hAnsi="Tahoma" w:cs="Tahoma"/>
          <w:sz w:val="20"/>
          <w:szCs w:val="20"/>
          <w:lang w:val="es-PE"/>
        </w:rPr>
        <w:t xml:space="preserve">a Norma Técnica Peruana NTP 339.111 que utilizó la Entidad para el presente proceso se denomina TAPAS DE HORMIGON (CONCRETO) CON MARCO DE FIERRO FUNDIDO PARA BUZONES E INSTALACIONES </w:t>
      </w:r>
      <w:r w:rsidRPr="00A63ABE">
        <w:rPr>
          <w:rFonts w:ascii="Tahoma" w:hAnsi="Tahoma" w:cs="Tahoma"/>
          <w:sz w:val="20"/>
          <w:szCs w:val="20"/>
          <w:lang w:val="es-PE"/>
        </w:rPr>
        <w:lastRenderedPageBreak/>
        <w:t>AFINES, lo cual no se condice con la naturaleza de tapas de plástico. Cabe precisar que la Norma Técnica Peruana NTP 339.111 exige que la carga puntual de rotura sea mayor o igual a 12 TN pero no puede ser aplicada de ninguna manera como exigencia para que la carga máxima de rotura sea mayor a 20 TN, dado que ello no se consigna en el contenido de dicha norma. Lamentablemente, por cuestiones de plazo, no se pudo formular las consultas y observaciones a las Bases.</w:t>
      </w:r>
    </w:p>
    <w:p w:rsidR="00A266E4" w:rsidRPr="00CD2781" w:rsidRDefault="00A266E4" w:rsidP="00A266E4">
      <w:pPr>
        <w:pStyle w:val="Prrafodelista"/>
        <w:rPr>
          <w:rFonts w:ascii="Tahoma" w:hAnsi="Tahoma" w:cs="Tahoma"/>
          <w:sz w:val="20"/>
        </w:rPr>
      </w:pPr>
    </w:p>
    <w:p w:rsidR="00A266E4" w:rsidRPr="00CD2781" w:rsidRDefault="00A266E4" w:rsidP="00A266E4">
      <w:pPr>
        <w:widowControl w:val="0"/>
        <w:numPr>
          <w:ilvl w:val="0"/>
          <w:numId w:val="15"/>
        </w:numPr>
        <w:spacing w:after="0" w:line="240" w:lineRule="auto"/>
        <w:jc w:val="both"/>
        <w:rPr>
          <w:rFonts w:ascii="Tahoma" w:hAnsi="Tahoma" w:cs="Tahoma"/>
          <w:snapToGrid w:val="0"/>
          <w:sz w:val="20"/>
          <w:szCs w:val="20"/>
        </w:rPr>
      </w:pPr>
      <w:r w:rsidRPr="00CD2781">
        <w:rPr>
          <w:rFonts w:ascii="Tahoma" w:hAnsi="Tahoma" w:cs="Tahoma"/>
          <w:sz w:val="20"/>
          <w:szCs w:val="20"/>
        </w:rPr>
        <w:t xml:space="preserve">En relación a ello, debe indicarse </w:t>
      </w:r>
      <w:r w:rsidRPr="00CD2781">
        <w:rPr>
          <w:rFonts w:ascii="Tahoma" w:hAnsi="Tahoma" w:cs="Tahoma"/>
          <w:sz w:val="20"/>
          <w:szCs w:val="20"/>
          <w:lang w:val="es-PE"/>
        </w:rPr>
        <w:t>que  d</w:t>
      </w:r>
      <w:r w:rsidRPr="00CD2781">
        <w:rPr>
          <w:rFonts w:ascii="Tahoma" w:hAnsi="Tahoma" w:cs="Tahoma"/>
          <w:snapToGrid w:val="0"/>
          <w:sz w:val="20"/>
          <w:szCs w:val="20"/>
          <w:lang w:val="es-PE"/>
        </w:rPr>
        <w:t xml:space="preserve">e conformidad al artículo 13º de la Ley, </w:t>
      </w:r>
      <w:r w:rsidRPr="00CD2781">
        <w:rPr>
          <w:rFonts w:ascii="Tahoma" w:hAnsi="Tahoma" w:cs="Tahoma"/>
          <w:snapToGrid w:val="0"/>
          <w:sz w:val="20"/>
          <w:szCs w:val="20"/>
        </w:rPr>
        <w:t xml:space="preserve">concordado con el artículo 11º del Reglamento, </w:t>
      </w:r>
      <w:r w:rsidRPr="00CD2781">
        <w:rPr>
          <w:rFonts w:ascii="Tahoma" w:hAnsi="Tahoma" w:cs="Tahoma"/>
          <w:snapToGrid w:val="0"/>
          <w:sz w:val="20"/>
          <w:szCs w:val="20"/>
          <w:u w:val="single"/>
        </w:rPr>
        <w:t>la definición de los requerimientos técnicos mínimos es de exclusiva responsabilidad de la Entidad</w:t>
      </w:r>
      <w:r w:rsidRPr="00CD2781">
        <w:rPr>
          <w:rFonts w:ascii="Tahoma" w:hAnsi="Tahoma" w:cs="Tahoma"/>
          <w:snapToGrid w:val="0"/>
          <w:sz w:val="20"/>
          <w:szCs w:val="20"/>
        </w:rPr>
        <w:t>, sin mayor restricción que la de permitir la mayor concurrencia de proveedores en el mercado, debiéndose considerar criterios de razonabilidad, congruencia y proporcionalidad.</w:t>
      </w:r>
    </w:p>
    <w:p w:rsidR="00A266E4" w:rsidRPr="00CD2781" w:rsidRDefault="00A266E4" w:rsidP="00A266E4">
      <w:pPr>
        <w:pStyle w:val="Normaltimes"/>
        <w:widowControl w:val="0"/>
        <w:ind w:left="360"/>
        <w:jc w:val="both"/>
        <w:rPr>
          <w:rFonts w:ascii="Tahoma" w:hAnsi="Tahoma" w:cs="Tahoma"/>
          <w:snapToGrid w:val="0"/>
          <w:sz w:val="20"/>
          <w:szCs w:val="20"/>
        </w:rPr>
      </w:pPr>
    </w:p>
    <w:p w:rsidR="00A266E4" w:rsidRPr="00CD2781" w:rsidRDefault="00A266E4" w:rsidP="00A266E4">
      <w:pPr>
        <w:pStyle w:val="Normaltimes"/>
        <w:widowControl w:val="0"/>
        <w:numPr>
          <w:ilvl w:val="0"/>
          <w:numId w:val="15"/>
        </w:numPr>
        <w:jc w:val="both"/>
        <w:rPr>
          <w:rFonts w:ascii="Tahoma" w:hAnsi="Tahoma" w:cs="Tahoma"/>
          <w:sz w:val="20"/>
          <w:szCs w:val="20"/>
        </w:rPr>
      </w:pPr>
      <w:r w:rsidRPr="00CD2781">
        <w:rPr>
          <w:rFonts w:ascii="Tahoma" w:hAnsi="Tahoma" w:cs="Tahoma"/>
          <w:snapToGrid w:val="0"/>
          <w:sz w:val="20"/>
          <w:szCs w:val="20"/>
        </w:rPr>
        <w:t xml:space="preserve">En concordancia con lo señalado, </w:t>
      </w:r>
      <w:r w:rsidRPr="00CD2781">
        <w:rPr>
          <w:rFonts w:ascii="Tahoma" w:hAnsi="Tahoma" w:cs="Tahoma"/>
          <w:sz w:val="20"/>
          <w:szCs w:val="20"/>
        </w:rPr>
        <w:t>siendo competencia y responsabilidad de la Entidad determinar los requisitos mínimos y, toda vez que el Contratista cuestiona  características técnicas que debieron observarse en la etapa correspondiente, no resulta un argumento exculpatorio que lo exima de responsabilidad respecto al incumplimiento acaecido.</w:t>
      </w:r>
    </w:p>
    <w:p w:rsidR="00A266E4" w:rsidRPr="00CD2781" w:rsidRDefault="00A266E4" w:rsidP="00A266E4">
      <w:pPr>
        <w:pStyle w:val="Prrafodelista"/>
        <w:rPr>
          <w:rFonts w:ascii="Tahoma" w:hAnsi="Tahoma" w:cs="Tahoma"/>
          <w:sz w:val="20"/>
        </w:rPr>
      </w:pPr>
    </w:p>
    <w:p w:rsidR="00A266E4" w:rsidRPr="00CD2781" w:rsidRDefault="00A266E4" w:rsidP="00A266E4">
      <w:pPr>
        <w:pStyle w:val="Normaltimes"/>
        <w:widowControl w:val="0"/>
        <w:numPr>
          <w:ilvl w:val="0"/>
          <w:numId w:val="15"/>
        </w:numPr>
        <w:jc w:val="both"/>
        <w:rPr>
          <w:rFonts w:ascii="Tahoma" w:hAnsi="Tahoma" w:cs="Tahoma"/>
          <w:sz w:val="20"/>
          <w:szCs w:val="20"/>
        </w:rPr>
      </w:pPr>
      <w:r w:rsidRPr="00CD2781">
        <w:rPr>
          <w:rFonts w:ascii="Tahoma" w:hAnsi="Tahoma" w:cs="Tahoma"/>
          <w:sz w:val="20"/>
          <w:szCs w:val="20"/>
        </w:rPr>
        <w:t xml:space="preserve">Adicionalmente, en relación al ofrecimiento </w:t>
      </w:r>
      <w:r w:rsidRPr="00CD2781">
        <w:rPr>
          <w:rFonts w:ascii="Tahoma" w:hAnsi="Tahoma" w:cs="Tahoma"/>
          <w:sz w:val="20"/>
          <w:szCs w:val="20"/>
          <w:lang w:val="es-PE"/>
        </w:rPr>
        <w:t xml:space="preserve">realizado a la  Entidad  de entregar la mercadería con un descuento del 50% del producto, debe señalarse que las entidades no pueden adquirir bienes o contratar servicios que no le sean idóneos para sus necesidades, por tal motivo, resultaría ineficiente invertir recursos en la no generación de beneficios para la administración pública. </w:t>
      </w:r>
    </w:p>
    <w:p w:rsidR="00A266E4" w:rsidRPr="00CD2781" w:rsidRDefault="00A266E4" w:rsidP="00A266E4">
      <w:pPr>
        <w:pStyle w:val="Prrafodelista"/>
        <w:rPr>
          <w:rFonts w:ascii="Tahoma" w:hAnsi="Tahoma" w:cs="Tahoma"/>
          <w:sz w:val="20"/>
        </w:rPr>
      </w:pPr>
    </w:p>
    <w:p w:rsidR="00A266E4" w:rsidRPr="00CD2781" w:rsidRDefault="00A266E4" w:rsidP="00A266E4">
      <w:pPr>
        <w:pStyle w:val="Normaltimes"/>
        <w:widowControl w:val="0"/>
        <w:numPr>
          <w:ilvl w:val="0"/>
          <w:numId w:val="15"/>
        </w:numPr>
        <w:tabs>
          <w:tab w:val="left" w:pos="5529"/>
        </w:tabs>
        <w:jc w:val="both"/>
        <w:rPr>
          <w:rFonts w:ascii="Tahoma" w:hAnsi="Tahoma" w:cs="Tahoma"/>
          <w:sz w:val="20"/>
          <w:szCs w:val="20"/>
        </w:rPr>
      </w:pPr>
      <w:r w:rsidRPr="00CD2781">
        <w:rPr>
          <w:rFonts w:ascii="Tahoma" w:hAnsi="Tahoma" w:cs="Tahoma"/>
          <w:sz w:val="20"/>
          <w:szCs w:val="20"/>
        </w:rPr>
        <w:t>Por otro lado, no puede resultar como eximente de responsabilidad el hecho que el Contratista haya sufrido una cuantiosa pérdida económica como resultado de la ejecución de la garantía de fiel cumplimiento, por la suma de S/. 119,800.00 nuevos soles, pues este efecto económico es consecuencia del sistema de garantías que la norma de contrataciones ha previsto, para respaldar el cumplimiento de las prestaciones a favor de las diversas entidades del Estado, lo que no excluye la imposición de la sanción administrativa.</w:t>
      </w:r>
    </w:p>
    <w:p w:rsidR="00A266E4" w:rsidRPr="00CD2781" w:rsidRDefault="00A266E4" w:rsidP="00A266E4">
      <w:pPr>
        <w:pStyle w:val="Normaltimes"/>
        <w:widowControl w:val="0"/>
        <w:tabs>
          <w:tab w:val="left" w:pos="5529"/>
        </w:tabs>
        <w:jc w:val="both"/>
        <w:rPr>
          <w:rFonts w:ascii="Tahoma" w:hAnsi="Tahoma" w:cs="Tahoma"/>
          <w:sz w:val="20"/>
          <w:szCs w:val="20"/>
        </w:rPr>
      </w:pPr>
    </w:p>
    <w:p w:rsidR="00A266E4" w:rsidRPr="00CD2781" w:rsidRDefault="00A266E4" w:rsidP="00A266E4">
      <w:pPr>
        <w:pStyle w:val="Normaltimes"/>
        <w:widowControl w:val="0"/>
        <w:numPr>
          <w:ilvl w:val="0"/>
          <w:numId w:val="15"/>
        </w:numPr>
        <w:tabs>
          <w:tab w:val="left" w:pos="5529"/>
        </w:tabs>
        <w:jc w:val="both"/>
        <w:rPr>
          <w:rFonts w:ascii="Tahoma" w:hAnsi="Tahoma" w:cs="Tahoma"/>
          <w:sz w:val="20"/>
          <w:szCs w:val="20"/>
        </w:rPr>
      </w:pPr>
      <w:r w:rsidRPr="00CD2781">
        <w:rPr>
          <w:rFonts w:ascii="Tahoma" w:hAnsi="Tahoma" w:cs="Tahoma"/>
          <w:sz w:val="20"/>
          <w:szCs w:val="20"/>
        </w:rPr>
        <w:t>Atendiendo a las consideraciones expuestas, esta Sala concluye que la resolución del vínculo contractual estuvo motivada por causal atribuible a la Contratista, por lo que el hecho imputado califica como infracción administrativa según la causal de imposición de sanción tipificada en el literal b) del  numeral 51.1 del artículo 51 de la Ley de Contrataciones del Estado, así como en el numeral 1 literal b) del artículo 237 de su  Reglamento.</w:t>
      </w:r>
    </w:p>
    <w:p w:rsidR="00A266E4" w:rsidRPr="00CD2781" w:rsidRDefault="00A266E4" w:rsidP="00A266E4">
      <w:pPr>
        <w:pStyle w:val="Prrafodelista"/>
        <w:rPr>
          <w:rFonts w:ascii="Tahoma" w:hAnsi="Tahoma" w:cs="Tahoma"/>
          <w:sz w:val="20"/>
        </w:rPr>
      </w:pPr>
    </w:p>
    <w:p w:rsidR="00A266E4" w:rsidRPr="00CD2781" w:rsidRDefault="00A266E4" w:rsidP="00A266E4">
      <w:pPr>
        <w:numPr>
          <w:ilvl w:val="0"/>
          <w:numId w:val="15"/>
        </w:numPr>
        <w:spacing w:after="0" w:line="240" w:lineRule="auto"/>
        <w:jc w:val="both"/>
        <w:rPr>
          <w:rFonts w:ascii="Tahoma" w:hAnsi="Tahoma" w:cs="Tahoma"/>
          <w:sz w:val="20"/>
          <w:szCs w:val="20"/>
        </w:rPr>
      </w:pPr>
      <w:r w:rsidRPr="00CD2781">
        <w:rPr>
          <w:rFonts w:ascii="Tahoma" w:hAnsi="Tahoma" w:cs="Tahoma"/>
          <w:sz w:val="20"/>
          <w:szCs w:val="20"/>
          <w:lang w:val="es-MX"/>
        </w:rPr>
        <w:t xml:space="preserve">En relación con la sanción imponible, el artículo 51.2 de la Ley y 237º del Reglamento, respectivamente, establece que aquellos contratistas que den lugar a la resolución del contrato por causal atribuible a su parte serán inhabilitados temporalmente para participar y contratar con el Estado por un periodo no menor de uno ni mayor de tres años, conforme a los criterios </w:t>
      </w:r>
      <w:r w:rsidRPr="00CD2781">
        <w:rPr>
          <w:rFonts w:ascii="Tahoma" w:hAnsi="Tahoma" w:cs="Tahoma"/>
          <w:sz w:val="20"/>
          <w:szCs w:val="20"/>
        </w:rPr>
        <w:t>para la determinación gradual de la sanción previstos en el artículo 245º del Reglamento</w:t>
      </w:r>
      <w:r w:rsidRPr="00CD2781">
        <w:rPr>
          <w:rStyle w:val="Refdenotaalpie"/>
          <w:rFonts w:ascii="Tahoma" w:hAnsi="Tahoma" w:cs="Tahoma"/>
          <w:sz w:val="20"/>
          <w:szCs w:val="20"/>
        </w:rPr>
        <w:footnoteReference w:id="5"/>
      </w:r>
      <w:r w:rsidRPr="00CD2781">
        <w:rPr>
          <w:rFonts w:ascii="Tahoma" w:hAnsi="Tahoma" w:cs="Tahoma"/>
          <w:sz w:val="20"/>
          <w:szCs w:val="20"/>
        </w:rPr>
        <w:t xml:space="preserve">. </w:t>
      </w:r>
    </w:p>
    <w:p w:rsidR="00A266E4" w:rsidRPr="00CD2781" w:rsidRDefault="00A266E4" w:rsidP="00A266E4">
      <w:pPr>
        <w:jc w:val="both"/>
        <w:rPr>
          <w:rFonts w:ascii="Tahoma" w:hAnsi="Tahoma" w:cs="Tahoma"/>
          <w:sz w:val="20"/>
          <w:szCs w:val="20"/>
        </w:rPr>
      </w:pPr>
    </w:p>
    <w:p w:rsidR="00316CB4" w:rsidRDefault="00A266E4" w:rsidP="00316CB4">
      <w:pPr>
        <w:numPr>
          <w:ilvl w:val="0"/>
          <w:numId w:val="15"/>
        </w:numPr>
        <w:spacing w:after="0" w:line="240" w:lineRule="auto"/>
        <w:jc w:val="both"/>
        <w:rPr>
          <w:rFonts w:ascii="Tahoma" w:hAnsi="Tahoma" w:cs="Tahoma"/>
          <w:b/>
          <w:bCs/>
          <w:sz w:val="20"/>
          <w:szCs w:val="20"/>
          <w:u w:val="single"/>
        </w:rPr>
      </w:pPr>
      <w:r w:rsidRPr="00CD2781">
        <w:rPr>
          <w:rFonts w:ascii="Tahoma" w:hAnsi="Tahoma" w:cs="Tahoma"/>
          <w:sz w:val="20"/>
          <w:szCs w:val="20"/>
        </w:rPr>
        <w:t xml:space="preserve">Teniendo en consideración que se ha determinado responsabilidad administrativa por la infracción imputada, es preciso señalar que el artículo 36 de la Ley establece, entre otros aspectos, que </w:t>
      </w:r>
      <w:r w:rsidRPr="00CD2781">
        <w:rPr>
          <w:rFonts w:ascii="Tahoma" w:hAnsi="Tahoma" w:cs="Tahoma"/>
          <w:b/>
          <w:bCs/>
          <w:sz w:val="20"/>
          <w:szCs w:val="20"/>
        </w:rPr>
        <w:t xml:space="preserve">las partes del consorcio responderán solidariamente ante la Entidad por todas las consecuencias derivadas de su participación individual en el consorcio durante los procesos de selección, </w:t>
      </w:r>
      <w:r w:rsidRPr="00CD2781">
        <w:rPr>
          <w:rFonts w:ascii="Tahoma" w:hAnsi="Tahoma" w:cs="Tahoma"/>
          <w:b/>
          <w:bCs/>
          <w:sz w:val="20"/>
          <w:szCs w:val="20"/>
          <w:u w:val="single"/>
        </w:rPr>
        <w:t>o de su participación en conjunto en la ejecución del contrato derivado por éste.</w:t>
      </w:r>
    </w:p>
    <w:p w:rsidR="00316CB4" w:rsidRDefault="00316CB4" w:rsidP="00316CB4">
      <w:pPr>
        <w:pStyle w:val="Prrafodelista"/>
        <w:rPr>
          <w:rFonts w:ascii="Tahoma" w:hAnsi="Tahoma" w:cs="Tahoma"/>
          <w:sz w:val="20"/>
        </w:rPr>
      </w:pPr>
    </w:p>
    <w:p w:rsidR="00316CB4" w:rsidRDefault="00A266E4" w:rsidP="00316CB4">
      <w:pPr>
        <w:numPr>
          <w:ilvl w:val="0"/>
          <w:numId w:val="15"/>
        </w:numPr>
        <w:spacing w:after="0" w:line="240" w:lineRule="auto"/>
        <w:jc w:val="both"/>
        <w:rPr>
          <w:rFonts w:ascii="Tahoma" w:hAnsi="Tahoma" w:cs="Tahoma"/>
          <w:b/>
          <w:bCs/>
          <w:sz w:val="20"/>
          <w:szCs w:val="20"/>
          <w:u w:val="single"/>
        </w:rPr>
      </w:pPr>
      <w:r w:rsidRPr="00316CB4">
        <w:rPr>
          <w:rFonts w:ascii="Tahoma" w:hAnsi="Tahoma" w:cs="Tahoma"/>
          <w:sz w:val="20"/>
          <w:szCs w:val="20"/>
        </w:rPr>
        <w:t>En esa misma línea, el artículo 239 del Reglamento dispone que las infracciones cometidas por los postores que presentaron promesa de consorcio durante su participación en el proceso de selección se imputarán exclusivamente a la parte que las haya cometido, aplicándose sólo a ésta la sanción a que hubiera lugar, siempre que pueda individualizarse al infractor.</w:t>
      </w:r>
      <w:r w:rsidRPr="00316CB4">
        <w:rPr>
          <w:rFonts w:ascii="Tahoma" w:hAnsi="Tahoma" w:cs="Tahoma"/>
          <w:b/>
          <w:bCs/>
          <w:sz w:val="20"/>
          <w:szCs w:val="20"/>
        </w:rPr>
        <w:t xml:space="preserve"> Las infracciones cometidas por un consorcio durante la ejecución del contrato se imputarán a todos los integrantes del mismo, aplicándose a cada uno de ellos la sanción que le corresponda.</w:t>
      </w:r>
    </w:p>
    <w:p w:rsidR="00316CB4" w:rsidRDefault="00316CB4" w:rsidP="00316CB4">
      <w:pPr>
        <w:pStyle w:val="Prrafodelista"/>
        <w:rPr>
          <w:rFonts w:ascii="Tahoma" w:hAnsi="Tahoma" w:cs="Tahoma"/>
          <w:sz w:val="20"/>
        </w:rPr>
      </w:pPr>
    </w:p>
    <w:p w:rsidR="00316CB4" w:rsidRDefault="00A266E4" w:rsidP="00316CB4">
      <w:pPr>
        <w:numPr>
          <w:ilvl w:val="0"/>
          <w:numId w:val="15"/>
        </w:numPr>
        <w:spacing w:after="0" w:line="240" w:lineRule="auto"/>
        <w:jc w:val="both"/>
        <w:rPr>
          <w:rFonts w:ascii="Tahoma" w:hAnsi="Tahoma" w:cs="Tahoma"/>
          <w:b/>
          <w:bCs/>
          <w:sz w:val="20"/>
          <w:szCs w:val="20"/>
          <w:u w:val="single"/>
        </w:rPr>
      </w:pPr>
      <w:r w:rsidRPr="00316CB4">
        <w:rPr>
          <w:rFonts w:ascii="Tahoma" w:hAnsi="Tahoma" w:cs="Tahoma"/>
          <w:sz w:val="20"/>
          <w:szCs w:val="20"/>
        </w:rPr>
        <w:t>Debe traerse a colación, en este punto del análisis, que la infracción denunciada se ha producido durante la etapa de ejecución contractual.  Por tanto, en virtud de lo establecido en el citado artículo 239 del Reglamento, debe imputarse la responsabilidad por la comisión de la infracción a todos los integrantes del Consorcio.</w:t>
      </w:r>
    </w:p>
    <w:p w:rsidR="00316CB4" w:rsidRDefault="00316CB4" w:rsidP="00316CB4">
      <w:pPr>
        <w:pStyle w:val="Prrafodelista"/>
        <w:rPr>
          <w:rFonts w:ascii="Tahoma" w:hAnsi="Tahoma" w:cs="Tahoma"/>
          <w:sz w:val="20"/>
        </w:rPr>
      </w:pPr>
    </w:p>
    <w:p w:rsidR="00A266E4" w:rsidRPr="00B662EB" w:rsidRDefault="00A266E4" w:rsidP="00316CB4">
      <w:pPr>
        <w:numPr>
          <w:ilvl w:val="0"/>
          <w:numId w:val="15"/>
        </w:numPr>
        <w:spacing w:after="0" w:line="240" w:lineRule="auto"/>
        <w:jc w:val="both"/>
        <w:rPr>
          <w:rFonts w:ascii="Tahoma" w:hAnsi="Tahoma" w:cs="Tahoma"/>
          <w:b/>
          <w:bCs/>
          <w:sz w:val="20"/>
          <w:szCs w:val="20"/>
          <w:u w:val="single"/>
        </w:rPr>
      </w:pPr>
      <w:r w:rsidRPr="00316CB4">
        <w:rPr>
          <w:rFonts w:ascii="Tahoma" w:hAnsi="Tahoma" w:cs="Tahoma"/>
          <w:sz w:val="20"/>
          <w:szCs w:val="20"/>
        </w:rPr>
        <w:t>Por lo expuesto, lo alegado por la empresa PENTAGAS en sus descargos en la que afirmó que su participación fue del 2% y que sólo ha proporcionado apoyo financiero, a efectos que se le exonere de responsabilidad administrativa, carece de asidero jurídico, en tanto, no se condice con la naturaleza de las obligaciones asumidas por todos los integrantes del Consorcio al suscribir el contrato con la Entidad, en concordancia con el artículo 36 de la Ley y el artículo 239 del Reglamento mencionados precedentemente; sin perjuicio de aplicar a cada uno de sus integrantes la sanción que les corresponda.</w:t>
      </w:r>
    </w:p>
    <w:p w:rsidR="00B662EB" w:rsidRDefault="00B662EB" w:rsidP="00B662EB">
      <w:pPr>
        <w:pStyle w:val="Prrafodelista"/>
        <w:rPr>
          <w:rFonts w:ascii="Tahoma" w:hAnsi="Tahoma" w:cs="Tahoma"/>
          <w:b/>
          <w:bCs/>
          <w:sz w:val="20"/>
          <w:u w:val="single"/>
        </w:rPr>
      </w:pPr>
    </w:p>
    <w:p w:rsidR="00A266E4" w:rsidRPr="00B662EB" w:rsidRDefault="00A266E4" w:rsidP="00B662EB">
      <w:pPr>
        <w:numPr>
          <w:ilvl w:val="0"/>
          <w:numId w:val="15"/>
        </w:numPr>
        <w:spacing w:after="0" w:line="240" w:lineRule="auto"/>
        <w:jc w:val="both"/>
        <w:rPr>
          <w:rFonts w:ascii="Tahoma" w:hAnsi="Tahoma" w:cs="Tahoma"/>
          <w:b/>
          <w:bCs/>
          <w:sz w:val="20"/>
          <w:szCs w:val="20"/>
          <w:u w:val="single"/>
        </w:rPr>
      </w:pPr>
      <w:r w:rsidRPr="00B662EB">
        <w:rPr>
          <w:rFonts w:ascii="Tahoma" w:hAnsi="Tahoma" w:cs="Tahoma"/>
          <w:sz w:val="20"/>
          <w:szCs w:val="20"/>
        </w:rPr>
        <w:t>Ahora bien, a efectos de graduar la sanción de acuerdo con los criterios establecidos en el artículo citado en el párrafo precedente, debe tenerse en consideración el Principio de Razonabilidad</w:t>
      </w:r>
      <w:r w:rsidRPr="00B662EB">
        <w:rPr>
          <w:rFonts w:ascii="Tahoma" w:hAnsi="Tahoma" w:cs="Tahoma"/>
          <w:i/>
          <w:iCs/>
          <w:sz w:val="20"/>
          <w:szCs w:val="20"/>
        </w:rPr>
        <w:t xml:space="preserve"> </w:t>
      </w:r>
      <w:r w:rsidRPr="00B662EB">
        <w:rPr>
          <w:rFonts w:ascii="Tahoma" w:hAnsi="Tahoma" w:cs="Tahoma"/>
          <w:sz w:val="20"/>
          <w:szCs w:val="20"/>
        </w:rPr>
        <w:t xml:space="preserve">consagrado en el numeral 1.4 del Artículo IV del Título Preliminar de la Ley del Procedimiento Administrativo General, Ley Nº 27444, según 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 </w:t>
      </w:r>
    </w:p>
    <w:p w:rsidR="00A266E4" w:rsidRPr="00CD2781" w:rsidRDefault="00A266E4" w:rsidP="00A266E4">
      <w:pPr>
        <w:pStyle w:val="Prrafodelista"/>
        <w:rPr>
          <w:rFonts w:ascii="Tahoma" w:hAnsi="Tahoma" w:cs="Tahoma"/>
          <w:sz w:val="20"/>
        </w:rPr>
      </w:pPr>
    </w:p>
    <w:p w:rsidR="00A266E4" w:rsidRPr="00CD2781" w:rsidRDefault="00A266E4" w:rsidP="00A266E4">
      <w:pPr>
        <w:numPr>
          <w:ilvl w:val="0"/>
          <w:numId w:val="15"/>
        </w:numPr>
        <w:spacing w:after="0" w:line="240" w:lineRule="auto"/>
        <w:jc w:val="both"/>
        <w:rPr>
          <w:rFonts w:ascii="Tahoma" w:hAnsi="Tahoma" w:cs="Tahoma"/>
          <w:sz w:val="20"/>
          <w:szCs w:val="20"/>
        </w:rPr>
      </w:pPr>
      <w:r w:rsidRPr="00CD2781">
        <w:rPr>
          <w:rFonts w:ascii="Tahoma" w:hAnsi="Tahoma" w:cs="Tahoma"/>
          <w:sz w:val="20"/>
          <w:szCs w:val="20"/>
        </w:rPr>
        <w:t xml:space="preserve">En ese sentido, debe concluirse que la determinación de la sanción no debe ser desproporcionada y debe guardar relación con la conducta a reprimir, más allá de lo </w:t>
      </w:r>
      <w:r w:rsidRPr="00CD2781">
        <w:rPr>
          <w:rFonts w:ascii="Tahoma" w:hAnsi="Tahoma" w:cs="Tahoma"/>
          <w:sz w:val="20"/>
          <w:szCs w:val="20"/>
        </w:rPr>
        <w:lastRenderedPageBreak/>
        <w:t xml:space="preserve">estrictamente necesario para satisfacer los fines de la sanción, atendiendo a la necesidad de que los proveedores y/o contratistas no deban verse privados de su derecho de participar en los procesos de selección y, de ser el caso, proveer al Estado.  </w:t>
      </w:r>
    </w:p>
    <w:p w:rsidR="00A266E4" w:rsidRPr="00CD2781" w:rsidRDefault="00A266E4" w:rsidP="00A266E4">
      <w:pPr>
        <w:pStyle w:val="Prrafodelista"/>
        <w:rPr>
          <w:rFonts w:ascii="Tahoma" w:hAnsi="Tahoma" w:cs="Tahoma"/>
          <w:sz w:val="20"/>
        </w:rPr>
      </w:pPr>
    </w:p>
    <w:p w:rsidR="00A266E4" w:rsidRPr="00CD2781" w:rsidRDefault="00A266E4" w:rsidP="00A266E4">
      <w:pPr>
        <w:numPr>
          <w:ilvl w:val="0"/>
          <w:numId w:val="15"/>
        </w:numPr>
        <w:spacing w:after="0" w:line="240" w:lineRule="auto"/>
        <w:jc w:val="both"/>
        <w:rPr>
          <w:rFonts w:ascii="Tahoma" w:hAnsi="Tahoma" w:cs="Tahoma"/>
          <w:sz w:val="20"/>
          <w:szCs w:val="20"/>
        </w:rPr>
      </w:pPr>
      <w:r w:rsidRPr="00CD2781">
        <w:rPr>
          <w:rFonts w:ascii="Tahoma" w:hAnsi="Tahoma" w:cs="Tahoma"/>
          <w:sz w:val="20"/>
          <w:szCs w:val="20"/>
        </w:rPr>
        <w:t>En el marco de lo señalado en los párrafos precedentes, a efectos de determinar la graduación de la sanción imponible, se debe tener en cuenta en lo que concierne a la naturaleza de la infracción, la conducta efectuada por el Contratista reviste de una considerable gravedad en la medida en que desde el momento que asumió un compromiso contractual frente a la Entidad, se encontraba llamado a cumplir cabalmente con lo ofrecido, y de esta forma contribuir al cumplimiento de las metas institucionales de la Entidad.</w:t>
      </w:r>
    </w:p>
    <w:p w:rsidR="00A266E4" w:rsidRPr="00CD2781" w:rsidRDefault="00A266E4" w:rsidP="00A266E4">
      <w:pPr>
        <w:pStyle w:val="Prrafodelista"/>
        <w:rPr>
          <w:rFonts w:ascii="Tahoma" w:hAnsi="Tahoma" w:cs="Tahoma"/>
          <w:sz w:val="20"/>
        </w:rPr>
      </w:pPr>
    </w:p>
    <w:p w:rsidR="00A266E4" w:rsidRPr="00CD2781" w:rsidRDefault="00A266E4" w:rsidP="00A266E4">
      <w:pPr>
        <w:numPr>
          <w:ilvl w:val="0"/>
          <w:numId w:val="15"/>
        </w:numPr>
        <w:spacing w:after="0" w:line="240" w:lineRule="auto"/>
        <w:jc w:val="both"/>
        <w:rPr>
          <w:rFonts w:ascii="Tahoma" w:hAnsi="Tahoma" w:cs="Tahoma"/>
          <w:sz w:val="20"/>
          <w:szCs w:val="20"/>
        </w:rPr>
      </w:pPr>
      <w:r w:rsidRPr="00CD2781">
        <w:rPr>
          <w:rFonts w:ascii="Tahoma" w:hAnsi="Tahoma" w:cs="Tahoma"/>
          <w:sz w:val="20"/>
          <w:szCs w:val="20"/>
        </w:rPr>
        <w:t>Asimismo, respecto a la conducta procesal del infractor, debe señalarse que si bien es cierto  las empresas consorciadas han cumplido con presentar sus descargos, no han reconocido la infracción imputada, además de no apersonarse a la diligencia de audiencia pública programada a su solicitud.</w:t>
      </w:r>
    </w:p>
    <w:p w:rsidR="00A266E4" w:rsidRPr="00CD2781" w:rsidRDefault="00A266E4" w:rsidP="00A266E4">
      <w:pPr>
        <w:pStyle w:val="Prrafodelista"/>
        <w:rPr>
          <w:rFonts w:ascii="Tahoma" w:hAnsi="Tahoma" w:cs="Tahoma"/>
          <w:sz w:val="20"/>
        </w:rPr>
      </w:pPr>
    </w:p>
    <w:p w:rsidR="00B662EB" w:rsidRDefault="00A266E4" w:rsidP="00B662EB">
      <w:pPr>
        <w:numPr>
          <w:ilvl w:val="0"/>
          <w:numId w:val="15"/>
        </w:numPr>
        <w:spacing w:after="0" w:line="240" w:lineRule="auto"/>
        <w:jc w:val="both"/>
        <w:rPr>
          <w:rFonts w:ascii="Tahoma" w:hAnsi="Tahoma" w:cs="Tahoma"/>
          <w:sz w:val="20"/>
          <w:szCs w:val="20"/>
        </w:rPr>
      </w:pPr>
      <w:r w:rsidRPr="00CD2781">
        <w:rPr>
          <w:rFonts w:ascii="Tahoma" w:hAnsi="Tahoma" w:cs="Tahoma"/>
          <w:sz w:val="20"/>
          <w:szCs w:val="20"/>
        </w:rPr>
        <w:t>En el mismo sentido, es necesario que este Tribunal preste atención al daño causado por los infractores, en razón que su conducta trajo como consecuencia que la Entidad no cuente con los bienes requeridos, perjudicando el cumplimiento de los objetivos institucionales de la Entidad.</w:t>
      </w:r>
    </w:p>
    <w:p w:rsidR="00B662EB" w:rsidRDefault="00B662EB" w:rsidP="00B662EB">
      <w:pPr>
        <w:pStyle w:val="Prrafodelista"/>
        <w:rPr>
          <w:rFonts w:ascii="Tahoma" w:hAnsi="Tahoma" w:cs="Tahoma"/>
          <w:sz w:val="20"/>
        </w:rPr>
      </w:pPr>
    </w:p>
    <w:p w:rsidR="00B662EB" w:rsidRDefault="00A266E4" w:rsidP="00B662EB">
      <w:pPr>
        <w:numPr>
          <w:ilvl w:val="0"/>
          <w:numId w:val="15"/>
        </w:numPr>
        <w:spacing w:after="0" w:line="240" w:lineRule="auto"/>
        <w:jc w:val="both"/>
        <w:rPr>
          <w:rFonts w:ascii="Tahoma" w:hAnsi="Tahoma" w:cs="Tahoma"/>
          <w:sz w:val="20"/>
          <w:szCs w:val="20"/>
        </w:rPr>
      </w:pPr>
      <w:r w:rsidRPr="00B662EB">
        <w:rPr>
          <w:rFonts w:ascii="Tahoma" w:hAnsi="Tahoma" w:cs="Tahoma"/>
          <w:sz w:val="20"/>
          <w:szCs w:val="20"/>
        </w:rPr>
        <w:t>También es importante tener en cuenta el contexto general en el que se produjeron los hechos, particularmente en lo que respecta al monto del contrato (S/. 1’495,080.30), así como también a que inicialmente el Contratista atendió a la Entidad, aunque ulteriormente no haya recibido la conformidad de los bienes y asumido plenamente sus compromisos obligacionales respecto de las especificaciones técnicas requeridas.</w:t>
      </w:r>
    </w:p>
    <w:p w:rsidR="00B662EB" w:rsidRDefault="00B662EB" w:rsidP="00B662EB">
      <w:pPr>
        <w:pStyle w:val="Prrafodelista"/>
        <w:rPr>
          <w:rFonts w:ascii="Tahoma" w:hAnsi="Tahoma" w:cs="Tahoma"/>
          <w:sz w:val="20"/>
        </w:rPr>
      </w:pPr>
    </w:p>
    <w:p w:rsidR="00B662EB" w:rsidRDefault="00A266E4" w:rsidP="00B662EB">
      <w:pPr>
        <w:numPr>
          <w:ilvl w:val="0"/>
          <w:numId w:val="15"/>
        </w:numPr>
        <w:spacing w:after="0" w:line="240" w:lineRule="auto"/>
        <w:jc w:val="both"/>
        <w:rPr>
          <w:rFonts w:ascii="Tahoma" w:hAnsi="Tahoma" w:cs="Tahoma"/>
          <w:sz w:val="20"/>
          <w:szCs w:val="20"/>
        </w:rPr>
      </w:pPr>
      <w:r w:rsidRPr="00B662EB">
        <w:rPr>
          <w:rFonts w:ascii="Tahoma" w:hAnsi="Tahoma" w:cs="Tahoma"/>
          <w:sz w:val="20"/>
          <w:szCs w:val="20"/>
        </w:rPr>
        <w:t>Igualmente, obra a favor del consorciado PENTAGAS S.A.C. el elemento atenuante consistente en la ausencia de antecedentes en la comisión de infracciones, hecho que deberá ser tomado en cuenta al momento de graduar la sanción a imponerse.</w:t>
      </w:r>
    </w:p>
    <w:p w:rsidR="00B662EB" w:rsidRDefault="00B662EB" w:rsidP="00B662EB">
      <w:pPr>
        <w:pStyle w:val="Prrafodelista"/>
        <w:rPr>
          <w:rFonts w:ascii="Tahoma" w:hAnsi="Tahoma" w:cs="Tahoma"/>
          <w:sz w:val="20"/>
        </w:rPr>
      </w:pPr>
    </w:p>
    <w:p w:rsidR="00B662EB" w:rsidRDefault="00B662EB" w:rsidP="00B662EB">
      <w:pPr>
        <w:spacing w:after="0" w:line="240" w:lineRule="auto"/>
        <w:ind w:left="644"/>
        <w:jc w:val="both"/>
        <w:rPr>
          <w:rFonts w:ascii="Tahoma" w:hAnsi="Tahoma" w:cs="Tahoma"/>
          <w:sz w:val="20"/>
          <w:szCs w:val="20"/>
        </w:rPr>
      </w:pPr>
      <w:r w:rsidRPr="00B662EB">
        <w:rPr>
          <w:rFonts w:ascii="Tahoma" w:hAnsi="Tahoma" w:cs="Tahoma"/>
          <w:sz w:val="20"/>
          <w:szCs w:val="20"/>
        </w:rPr>
        <w:t>Sin embargo, la empresa consorciada SAN MARTIN SERVICE S.A. ha sido sancionada en su derecho de participar en procesos de selección y contratar con el Estado desde el 12 de enero de 2011 hasta el 11 de enero de 2012, con Resolución Nº 2408/2010.TC.</w:t>
      </w:r>
    </w:p>
    <w:p w:rsidR="00B662EB" w:rsidRDefault="00B662EB" w:rsidP="00B662EB">
      <w:pPr>
        <w:spacing w:after="0" w:line="240" w:lineRule="auto"/>
        <w:ind w:left="644"/>
        <w:jc w:val="both"/>
        <w:rPr>
          <w:rFonts w:ascii="Tahoma" w:hAnsi="Tahoma" w:cs="Tahoma"/>
          <w:sz w:val="20"/>
          <w:szCs w:val="20"/>
        </w:rPr>
      </w:pPr>
    </w:p>
    <w:p w:rsidR="00A266E4" w:rsidRPr="00B662EB" w:rsidRDefault="00A266E4" w:rsidP="00B662EB">
      <w:pPr>
        <w:numPr>
          <w:ilvl w:val="0"/>
          <w:numId w:val="15"/>
        </w:numPr>
        <w:spacing w:after="0" w:line="240" w:lineRule="auto"/>
        <w:jc w:val="both"/>
        <w:rPr>
          <w:rFonts w:ascii="Tahoma" w:hAnsi="Tahoma" w:cs="Tahoma"/>
          <w:sz w:val="20"/>
          <w:szCs w:val="20"/>
        </w:rPr>
      </w:pPr>
      <w:r w:rsidRPr="00B662EB">
        <w:rPr>
          <w:rFonts w:ascii="Tahoma" w:hAnsi="Tahoma" w:cs="Tahoma"/>
          <w:snapToGrid w:val="0"/>
          <w:sz w:val="20"/>
          <w:szCs w:val="20"/>
        </w:rPr>
        <w:t xml:space="preserve">En consecuencia, en base a los criterios antes indicados, no mediando </w:t>
      </w:r>
      <w:r w:rsidRPr="00B662EB">
        <w:rPr>
          <w:rFonts w:ascii="Tahoma" w:hAnsi="Tahoma" w:cs="Tahoma"/>
          <w:sz w:val="20"/>
          <w:szCs w:val="20"/>
        </w:rPr>
        <w:t>circunstancias adicionales que permiten atenuar la responsabilidad del Contratista en la comisión de la infracción, corresponde aplicarle la sanción administrativa de inhabilitación temporal en sus derechos para participar en procesos de selección y contratar con el Estado por el periodo de catorce (14) meses a la empresa PENTAGAS S.A.C y, con dieciséis (16) meses a la empresa SAN MARTIN SERVICE S.A.C.</w:t>
      </w:r>
    </w:p>
    <w:p w:rsidR="00A266E4" w:rsidRPr="00CD2781" w:rsidRDefault="00A266E4" w:rsidP="00A266E4">
      <w:pPr>
        <w:spacing w:after="0" w:line="240" w:lineRule="auto"/>
        <w:ind w:firstLine="567"/>
        <w:jc w:val="both"/>
        <w:rPr>
          <w:rFonts w:ascii="Tahoma" w:hAnsi="Tahoma" w:cs="Tahoma"/>
          <w:sz w:val="20"/>
          <w:szCs w:val="20"/>
        </w:rPr>
      </w:pPr>
    </w:p>
    <w:p w:rsidR="00A266E4" w:rsidRPr="00CD2781" w:rsidRDefault="00A266E4" w:rsidP="00A266E4">
      <w:pPr>
        <w:spacing w:after="0" w:line="240" w:lineRule="auto"/>
        <w:ind w:left="-284" w:firstLine="360"/>
        <w:jc w:val="both"/>
        <w:rPr>
          <w:rFonts w:ascii="Tahoma" w:hAnsi="Tahoma" w:cs="Tahoma"/>
          <w:sz w:val="20"/>
          <w:szCs w:val="20"/>
        </w:rPr>
      </w:pPr>
      <w:r w:rsidRPr="00CD2781">
        <w:rPr>
          <w:rFonts w:ascii="Tahoma" w:hAnsi="Tahoma" w:cs="Tahoma"/>
          <w:sz w:val="20"/>
          <w:szCs w:val="20"/>
        </w:rPr>
        <w:t xml:space="preserve">Por estos fundamentos, de conformidad con el informe del Vocal Ponente Dra. Janette Elke Ramírez Maynetto, y la intervención de los Vocales Dr. Carlos Navas Rondón y Dra. Ada Basulto Liewald, y atendiendo a la reconformación de la Primera Sala del Tribunal de Contrataciones y Adquisiciones del Estado, según lo dispuesto en la Resolución № 103-2011-OSCE/PRE, expedida el 15 de febrero de 2011, y en ejercicio de las facultades conferidas en los artículos 51 </w:t>
      </w:r>
      <w:r w:rsidRPr="00CD2781">
        <w:rPr>
          <w:rFonts w:ascii="Tahoma" w:hAnsi="Tahoma" w:cs="Tahoma"/>
          <w:sz w:val="20"/>
          <w:szCs w:val="20"/>
        </w:rPr>
        <w:lastRenderedPageBreak/>
        <w:t>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A266E4" w:rsidRPr="00CD2781" w:rsidRDefault="00A266E4" w:rsidP="00A266E4">
      <w:pPr>
        <w:spacing w:after="0" w:line="240" w:lineRule="auto"/>
        <w:jc w:val="both"/>
        <w:rPr>
          <w:rFonts w:ascii="Tahoma" w:hAnsi="Tahoma" w:cs="Tahoma"/>
          <w:sz w:val="20"/>
          <w:szCs w:val="20"/>
        </w:rPr>
      </w:pPr>
    </w:p>
    <w:p w:rsidR="00A266E4" w:rsidRPr="00CD2781" w:rsidRDefault="00A266E4" w:rsidP="00A266E4">
      <w:pPr>
        <w:spacing w:after="0" w:line="240" w:lineRule="auto"/>
        <w:ind w:right="-315"/>
        <w:jc w:val="both"/>
        <w:rPr>
          <w:rFonts w:ascii="Tahoma" w:hAnsi="Tahoma" w:cs="Tahoma"/>
          <w:b/>
          <w:sz w:val="20"/>
          <w:szCs w:val="20"/>
        </w:rPr>
      </w:pPr>
      <w:r w:rsidRPr="00CD2781">
        <w:rPr>
          <w:rFonts w:ascii="Tahoma" w:hAnsi="Tahoma" w:cs="Tahoma"/>
          <w:b/>
          <w:sz w:val="20"/>
          <w:szCs w:val="20"/>
        </w:rPr>
        <w:t>LA SALA RESUELVE:</w:t>
      </w:r>
    </w:p>
    <w:p w:rsidR="00A266E4" w:rsidRPr="00CD2781" w:rsidRDefault="00A266E4" w:rsidP="00A266E4">
      <w:pPr>
        <w:spacing w:after="0" w:line="240" w:lineRule="auto"/>
        <w:ind w:left="360"/>
        <w:jc w:val="both"/>
        <w:rPr>
          <w:rFonts w:ascii="Tahoma" w:hAnsi="Tahoma" w:cs="Tahoma"/>
          <w:sz w:val="20"/>
          <w:szCs w:val="20"/>
        </w:rPr>
      </w:pPr>
    </w:p>
    <w:p w:rsidR="00A266E4" w:rsidRPr="00CD2781" w:rsidRDefault="00A266E4" w:rsidP="00A266E4">
      <w:pPr>
        <w:numPr>
          <w:ilvl w:val="0"/>
          <w:numId w:val="18"/>
        </w:numPr>
        <w:tabs>
          <w:tab w:val="num" w:pos="567"/>
        </w:tabs>
        <w:spacing w:after="0" w:line="240" w:lineRule="auto"/>
        <w:ind w:left="567" w:hanging="567"/>
        <w:jc w:val="both"/>
        <w:rPr>
          <w:rFonts w:ascii="Tahoma" w:hAnsi="Tahoma" w:cs="Tahoma"/>
          <w:sz w:val="20"/>
          <w:szCs w:val="20"/>
        </w:rPr>
      </w:pPr>
      <w:r w:rsidRPr="00CD2781">
        <w:rPr>
          <w:rFonts w:ascii="Tahoma" w:hAnsi="Tahoma" w:cs="Tahoma"/>
          <w:sz w:val="20"/>
          <w:szCs w:val="20"/>
        </w:rPr>
        <w:t xml:space="preserve">Imponer la empresa PENTAGAS S.A.C la sanción administrativa de inhabilitación temporal por el periodo de catorce (14) meses en sus derechos de participar en procesos de selección y contratar con el Estado, por la comisión de la infracción tipificada en el literal b) del  numeral 51.1 del artículo 51 de la Ley de Contrataciones del Estado, así como en el numeral 1 literal b) del artículo 237 de su  Reglamento, la cual entrará en vigencia a partir del sexto día hábil siguiente de notificada la presente Resolución. </w:t>
      </w:r>
    </w:p>
    <w:p w:rsidR="008874E2" w:rsidRDefault="008874E2" w:rsidP="008874E2">
      <w:pPr>
        <w:spacing w:after="0" w:line="240" w:lineRule="auto"/>
        <w:ind w:left="567"/>
        <w:jc w:val="both"/>
        <w:rPr>
          <w:rFonts w:ascii="Tahoma" w:hAnsi="Tahoma" w:cs="Tahoma"/>
          <w:sz w:val="20"/>
          <w:szCs w:val="20"/>
        </w:rPr>
      </w:pPr>
    </w:p>
    <w:p w:rsidR="00A266E4" w:rsidRPr="00CD2781" w:rsidRDefault="00A266E4" w:rsidP="00A266E4">
      <w:pPr>
        <w:numPr>
          <w:ilvl w:val="0"/>
          <w:numId w:val="18"/>
        </w:numPr>
        <w:tabs>
          <w:tab w:val="num" w:pos="567"/>
        </w:tabs>
        <w:spacing w:after="0" w:line="240" w:lineRule="auto"/>
        <w:ind w:left="567" w:hanging="567"/>
        <w:jc w:val="both"/>
        <w:rPr>
          <w:rFonts w:ascii="Tahoma" w:hAnsi="Tahoma" w:cs="Tahoma"/>
          <w:sz w:val="20"/>
          <w:szCs w:val="20"/>
        </w:rPr>
      </w:pPr>
      <w:r w:rsidRPr="00CD2781">
        <w:rPr>
          <w:rFonts w:ascii="Tahoma" w:hAnsi="Tahoma" w:cs="Tahoma"/>
          <w:sz w:val="20"/>
          <w:szCs w:val="20"/>
        </w:rPr>
        <w:t xml:space="preserve">Imponer la empresa SAN MARTIN </w:t>
      </w:r>
      <w:r w:rsidR="002A6638">
        <w:rPr>
          <w:rFonts w:ascii="Tahoma" w:hAnsi="Tahoma" w:cs="Tahoma"/>
          <w:sz w:val="20"/>
          <w:szCs w:val="20"/>
        </w:rPr>
        <w:t>SERVICE S.A.</w:t>
      </w:r>
      <w:r w:rsidRPr="00CD2781">
        <w:rPr>
          <w:rFonts w:ascii="Tahoma" w:hAnsi="Tahoma" w:cs="Tahoma"/>
          <w:sz w:val="20"/>
          <w:szCs w:val="20"/>
        </w:rPr>
        <w:t xml:space="preserve"> la sanción administrativa de inhabilitación temporal por el periodo de dieciséis (16) meses en sus derechos de participar en procesos de selección y contratar con el Estado, por la comisión de la infracción tipificada en el literal b) del  numeral 51.1 del artículo 51 de la Ley de Contrataciones del Estado, así como en el numeral 1 literal b) del artículo 237 de su  Reglamento, la cual entrará en vigencia a partir del sexto día hábil siguiente de notificada la presente Resolución. </w:t>
      </w:r>
    </w:p>
    <w:p w:rsidR="008874E2" w:rsidRDefault="008874E2" w:rsidP="008874E2">
      <w:pPr>
        <w:spacing w:after="0" w:line="240" w:lineRule="auto"/>
        <w:ind w:left="567"/>
        <w:jc w:val="both"/>
        <w:rPr>
          <w:rFonts w:ascii="Tahoma" w:hAnsi="Tahoma" w:cs="Tahoma"/>
          <w:sz w:val="20"/>
          <w:szCs w:val="20"/>
        </w:rPr>
      </w:pPr>
    </w:p>
    <w:p w:rsidR="00A266E4" w:rsidRPr="00CD2781" w:rsidRDefault="00A266E4" w:rsidP="00A266E4">
      <w:pPr>
        <w:numPr>
          <w:ilvl w:val="0"/>
          <w:numId w:val="18"/>
        </w:numPr>
        <w:tabs>
          <w:tab w:val="num" w:pos="567"/>
        </w:tabs>
        <w:spacing w:after="0" w:line="240" w:lineRule="auto"/>
        <w:ind w:left="567" w:hanging="567"/>
        <w:jc w:val="both"/>
        <w:rPr>
          <w:rFonts w:ascii="Tahoma" w:hAnsi="Tahoma" w:cs="Tahoma"/>
          <w:sz w:val="20"/>
          <w:szCs w:val="20"/>
        </w:rPr>
      </w:pPr>
      <w:r w:rsidRPr="00CD2781">
        <w:rPr>
          <w:rFonts w:ascii="Tahoma" w:hAnsi="Tahoma" w:cs="Tahoma"/>
          <w:sz w:val="20"/>
          <w:szCs w:val="20"/>
        </w:rPr>
        <w:t>Poner la presente Resolución en conocimiento de la Subdirección del Registro Nacional de Proveedores del Organismo Supervisor de las Contrataciones del Estado (OSCE), para las anotaciones de Ley.</w:t>
      </w:r>
    </w:p>
    <w:p w:rsidR="00A266E4" w:rsidRPr="00CD2781" w:rsidRDefault="00A266E4" w:rsidP="00A266E4">
      <w:pPr>
        <w:pStyle w:val="Ttulo3"/>
        <w:spacing w:line="240" w:lineRule="auto"/>
        <w:jc w:val="both"/>
        <w:rPr>
          <w:rFonts w:ascii="Tahoma" w:hAnsi="Tahoma" w:cs="Tahoma"/>
          <w:b w:val="0"/>
          <w:bCs w:val="0"/>
          <w:sz w:val="20"/>
          <w:szCs w:val="20"/>
        </w:rPr>
      </w:pPr>
      <w:r w:rsidRPr="00CD2781">
        <w:rPr>
          <w:rFonts w:ascii="Tahoma" w:hAnsi="Tahoma" w:cs="Tahoma"/>
          <w:b w:val="0"/>
          <w:sz w:val="20"/>
          <w:szCs w:val="20"/>
        </w:rPr>
        <w:t>Regístrese, comuníquese y publíquese.</w:t>
      </w:r>
    </w:p>
    <w:p w:rsidR="00A266E4" w:rsidRPr="00CD2781" w:rsidRDefault="00A266E4" w:rsidP="00A266E4">
      <w:pPr>
        <w:spacing w:after="0" w:line="240" w:lineRule="auto"/>
        <w:jc w:val="both"/>
        <w:rPr>
          <w:rFonts w:ascii="Tahoma" w:hAnsi="Tahoma" w:cs="Tahoma"/>
          <w:b/>
          <w:shadow/>
          <w:sz w:val="20"/>
          <w:szCs w:val="20"/>
        </w:rPr>
      </w:pPr>
    </w:p>
    <w:p w:rsidR="00A266E4" w:rsidRPr="00CD2781" w:rsidRDefault="00A266E4" w:rsidP="00A266E4">
      <w:pPr>
        <w:spacing w:after="0" w:line="240" w:lineRule="auto"/>
        <w:jc w:val="both"/>
        <w:rPr>
          <w:rFonts w:ascii="Tahoma" w:hAnsi="Tahoma" w:cs="Tahoma"/>
          <w:b/>
          <w:shadow/>
          <w:sz w:val="20"/>
          <w:szCs w:val="20"/>
        </w:rPr>
      </w:pPr>
    </w:p>
    <w:p w:rsidR="00A266E4" w:rsidRPr="00CD2781" w:rsidRDefault="00A266E4" w:rsidP="00A266E4">
      <w:pPr>
        <w:spacing w:after="0" w:line="240" w:lineRule="auto"/>
        <w:jc w:val="both"/>
        <w:rPr>
          <w:rFonts w:ascii="Tahoma" w:hAnsi="Tahoma" w:cs="Tahoma"/>
          <w:b/>
          <w:shadow/>
          <w:sz w:val="20"/>
          <w:szCs w:val="20"/>
        </w:rPr>
      </w:pPr>
    </w:p>
    <w:p w:rsidR="00A266E4" w:rsidRPr="00CD2781" w:rsidRDefault="00A266E4" w:rsidP="00A266E4">
      <w:pPr>
        <w:spacing w:after="0" w:line="240" w:lineRule="auto"/>
        <w:jc w:val="both"/>
        <w:rPr>
          <w:rFonts w:ascii="Tahoma" w:hAnsi="Tahoma" w:cs="Tahoma"/>
          <w:b/>
          <w:shadow/>
          <w:sz w:val="20"/>
          <w:szCs w:val="20"/>
        </w:rPr>
      </w:pPr>
    </w:p>
    <w:p w:rsidR="00A266E4" w:rsidRPr="00CD2781" w:rsidRDefault="00A266E4" w:rsidP="00A266E4">
      <w:pPr>
        <w:spacing w:after="0" w:line="240" w:lineRule="auto"/>
        <w:ind w:left="2832" w:firstLine="708"/>
        <w:jc w:val="both"/>
        <w:rPr>
          <w:rFonts w:ascii="Tahoma" w:hAnsi="Tahoma" w:cs="Tahoma"/>
          <w:b/>
          <w:shadow/>
          <w:sz w:val="20"/>
          <w:szCs w:val="20"/>
        </w:rPr>
      </w:pPr>
      <w:r w:rsidRPr="00CD2781">
        <w:rPr>
          <w:rFonts w:ascii="Tahoma" w:hAnsi="Tahoma" w:cs="Tahoma"/>
          <w:b/>
          <w:shadow/>
          <w:sz w:val="20"/>
          <w:szCs w:val="20"/>
        </w:rPr>
        <w:t>PRESIDENTE</w:t>
      </w:r>
    </w:p>
    <w:p w:rsidR="00A266E4" w:rsidRPr="00CD2781" w:rsidRDefault="00A266E4" w:rsidP="00A266E4">
      <w:pPr>
        <w:spacing w:after="0" w:line="240" w:lineRule="auto"/>
        <w:jc w:val="both"/>
        <w:rPr>
          <w:rFonts w:ascii="Tahoma" w:hAnsi="Tahoma" w:cs="Tahoma"/>
          <w:b/>
          <w:shadow/>
          <w:sz w:val="20"/>
          <w:szCs w:val="20"/>
        </w:rPr>
      </w:pPr>
    </w:p>
    <w:p w:rsidR="00A266E4" w:rsidRPr="00CD2781" w:rsidRDefault="00A266E4" w:rsidP="00A266E4">
      <w:pPr>
        <w:spacing w:after="0" w:line="240" w:lineRule="auto"/>
        <w:jc w:val="both"/>
        <w:rPr>
          <w:rFonts w:ascii="Tahoma" w:hAnsi="Tahoma" w:cs="Tahoma"/>
          <w:b/>
          <w:shadow/>
          <w:sz w:val="20"/>
          <w:szCs w:val="20"/>
        </w:rPr>
      </w:pPr>
    </w:p>
    <w:p w:rsidR="00A266E4" w:rsidRPr="00CD2781" w:rsidRDefault="00A266E4" w:rsidP="00A266E4">
      <w:pPr>
        <w:spacing w:after="0" w:line="240" w:lineRule="auto"/>
        <w:jc w:val="both"/>
        <w:rPr>
          <w:rFonts w:ascii="Tahoma" w:hAnsi="Tahoma" w:cs="Tahoma"/>
          <w:b/>
          <w:shadow/>
          <w:sz w:val="20"/>
          <w:szCs w:val="20"/>
        </w:rPr>
      </w:pPr>
    </w:p>
    <w:p w:rsidR="00A266E4" w:rsidRPr="00CD2781" w:rsidRDefault="00A266E4" w:rsidP="00A266E4">
      <w:pPr>
        <w:spacing w:after="0" w:line="240" w:lineRule="auto"/>
        <w:jc w:val="both"/>
        <w:rPr>
          <w:rFonts w:ascii="Tahoma" w:hAnsi="Tahoma" w:cs="Tahoma"/>
          <w:b/>
          <w:shadow/>
          <w:sz w:val="20"/>
          <w:szCs w:val="20"/>
        </w:rPr>
      </w:pPr>
    </w:p>
    <w:p w:rsidR="00A266E4" w:rsidRPr="00CD2781" w:rsidRDefault="00A266E4" w:rsidP="00A266E4">
      <w:pPr>
        <w:spacing w:after="0" w:line="240" w:lineRule="auto"/>
        <w:jc w:val="both"/>
        <w:rPr>
          <w:rFonts w:ascii="Tahoma" w:hAnsi="Tahoma" w:cs="Tahoma"/>
          <w:shadow/>
          <w:sz w:val="20"/>
          <w:szCs w:val="20"/>
        </w:rPr>
      </w:pPr>
      <w:r w:rsidRPr="00CD2781">
        <w:rPr>
          <w:rFonts w:ascii="Tahoma" w:hAnsi="Tahoma" w:cs="Tahoma"/>
          <w:b/>
          <w:shadow/>
          <w:sz w:val="20"/>
          <w:szCs w:val="20"/>
        </w:rPr>
        <w:t xml:space="preserve">                   VOCAL</w:t>
      </w:r>
      <w:r w:rsidRPr="00CD2781">
        <w:rPr>
          <w:rFonts w:ascii="Tahoma" w:hAnsi="Tahoma" w:cs="Tahoma"/>
          <w:b/>
          <w:shadow/>
          <w:sz w:val="20"/>
          <w:szCs w:val="20"/>
        </w:rPr>
        <w:tab/>
      </w:r>
      <w:r w:rsidRPr="00CD2781">
        <w:rPr>
          <w:rFonts w:ascii="Tahoma" w:hAnsi="Tahoma" w:cs="Tahoma"/>
          <w:b/>
          <w:shadow/>
          <w:sz w:val="20"/>
          <w:szCs w:val="20"/>
        </w:rPr>
        <w:tab/>
      </w:r>
      <w:r w:rsidRPr="00CD2781">
        <w:rPr>
          <w:rFonts w:ascii="Tahoma" w:hAnsi="Tahoma" w:cs="Tahoma"/>
          <w:b/>
          <w:shadow/>
          <w:sz w:val="20"/>
          <w:szCs w:val="20"/>
        </w:rPr>
        <w:tab/>
      </w:r>
      <w:r w:rsidRPr="00CD2781">
        <w:rPr>
          <w:rFonts w:ascii="Tahoma" w:hAnsi="Tahoma" w:cs="Tahoma"/>
          <w:b/>
          <w:shadow/>
          <w:sz w:val="20"/>
          <w:szCs w:val="20"/>
        </w:rPr>
        <w:tab/>
      </w:r>
      <w:r w:rsidRPr="00CD2781">
        <w:rPr>
          <w:rFonts w:ascii="Tahoma" w:hAnsi="Tahoma" w:cs="Tahoma"/>
          <w:b/>
          <w:shadow/>
          <w:sz w:val="20"/>
          <w:szCs w:val="20"/>
        </w:rPr>
        <w:tab/>
      </w:r>
      <w:r w:rsidRPr="00CD2781">
        <w:rPr>
          <w:rFonts w:ascii="Tahoma" w:hAnsi="Tahoma" w:cs="Tahoma"/>
          <w:b/>
          <w:shadow/>
          <w:sz w:val="20"/>
          <w:szCs w:val="20"/>
        </w:rPr>
        <w:tab/>
      </w:r>
      <w:r w:rsidRPr="00CD2781">
        <w:rPr>
          <w:rFonts w:ascii="Tahoma" w:hAnsi="Tahoma" w:cs="Tahoma"/>
          <w:b/>
          <w:shadow/>
          <w:sz w:val="20"/>
          <w:szCs w:val="20"/>
        </w:rPr>
        <w:tab/>
      </w:r>
      <w:r w:rsidRPr="00CD2781">
        <w:rPr>
          <w:rFonts w:ascii="Tahoma" w:hAnsi="Tahoma" w:cs="Tahoma"/>
          <w:b/>
          <w:shadow/>
          <w:sz w:val="20"/>
          <w:szCs w:val="20"/>
        </w:rPr>
        <w:tab/>
        <w:t xml:space="preserve">VOCAL                                                                 </w:t>
      </w:r>
    </w:p>
    <w:p w:rsidR="00A266E4" w:rsidRPr="00CD2781" w:rsidRDefault="00A266E4" w:rsidP="00A266E4">
      <w:pPr>
        <w:spacing w:after="0" w:line="240" w:lineRule="auto"/>
        <w:jc w:val="both"/>
        <w:rPr>
          <w:rFonts w:ascii="Tahoma" w:hAnsi="Tahoma" w:cs="Tahoma"/>
          <w:sz w:val="20"/>
          <w:szCs w:val="20"/>
        </w:rPr>
      </w:pPr>
    </w:p>
    <w:p w:rsidR="00A266E4" w:rsidRPr="00CD2781" w:rsidRDefault="00A266E4" w:rsidP="00A266E4">
      <w:pPr>
        <w:spacing w:after="0" w:line="240" w:lineRule="auto"/>
        <w:jc w:val="both"/>
        <w:rPr>
          <w:rFonts w:ascii="Tahoma" w:hAnsi="Tahoma" w:cs="Tahoma"/>
          <w:sz w:val="20"/>
          <w:szCs w:val="20"/>
        </w:rPr>
      </w:pPr>
    </w:p>
    <w:p w:rsidR="00A266E4" w:rsidRPr="00CD2781" w:rsidRDefault="00A266E4" w:rsidP="00A266E4">
      <w:pPr>
        <w:spacing w:after="0" w:line="240" w:lineRule="auto"/>
        <w:jc w:val="both"/>
        <w:rPr>
          <w:rFonts w:ascii="Tahoma" w:hAnsi="Tahoma" w:cs="Tahoma"/>
          <w:sz w:val="20"/>
          <w:szCs w:val="20"/>
        </w:rPr>
      </w:pPr>
    </w:p>
    <w:p w:rsidR="00A266E4" w:rsidRPr="00CD2781" w:rsidRDefault="00A266E4" w:rsidP="00A266E4">
      <w:pPr>
        <w:spacing w:after="0" w:line="240" w:lineRule="auto"/>
        <w:jc w:val="both"/>
        <w:rPr>
          <w:rFonts w:ascii="Tahoma" w:hAnsi="Tahoma" w:cs="Tahoma"/>
          <w:sz w:val="20"/>
          <w:szCs w:val="20"/>
        </w:rPr>
      </w:pPr>
      <w:r w:rsidRPr="00CD2781">
        <w:rPr>
          <w:rFonts w:ascii="Tahoma" w:hAnsi="Tahoma" w:cs="Tahoma"/>
          <w:sz w:val="20"/>
          <w:szCs w:val="20"/>
        </w:rPr>
        <w:t>ss.</w:t>
      </w:r>
    </w:p>
    <w:p w:rsidR="00A266E4" w:rsidRPr="00CD2781" w:rsidRDefault="00A266E4" w:rsidP="00A266E4">
      <w:pPr>
        <w:spacing w:after="0" w:line="240" w:lineRule="auto"/>
        <w:jc w:val="both"/>
        <w:rPr>
          <w:rFonts w:ascii="Tahoma" w:hAnsi="Tahoma" w:cs="Tahoma"/>
          <w:sz w:val="20"/>
          <w:szCs w:val="20"/>
        </w:rPr>
      </w:pPr>
      <w:r w:rsidRPr="00CD2781">
        <w:rPr>
          <w:rFonts w:ascii="Tahoma" w:hAnsi="Tahoma" w:cs="Tahoma"/>
          <w:sz w:val="20"/>
          <w:szCs w:val="20"/>
        </w:rPr>
        <w:t>Navas Rondón.</w:t>
      </w:r>
    </w:p>
    <w:p w:rsidR="00A266E4" w:rsidRPr="00CD2781" w:rsidRDefault="00A266E4" w:rsidP="00A266E4">
      <w:pPr>
        <w:spacing w:after="0" w:line="240" w:lineRule="auto"/>
        <w:jc w:val="both"/>
        <w:rPr>
          <w:rFonts w:ascii="Tahoma" w:hAnsi="Tahoma" w:cs="Tahoma"/>
          <w:sz w:val="20"/>
          <w:szCs w:val="20"/>
        </w:rPr>
      </w:pPr>
      <w:r w:rsidRPr="00CD2781">
        <w:rPr>
          <w:rFonts w:ascii="Tahoma" w:hAnsi="Tahoma" w:cs="Tahoma"/>
          <w:sz w:val="20"/>
          <w:szCs w:val="20"/>
        </w:rPr>
        <w:t>Ramírez Maynetto.</w:t>
      </w:r>
    </w:p>
    <w:p w:rsidR="00A266E4" w:rsidRPr="00CD2781" w:rsidRDefault="00F42F13" w:rsidP="00F42F13">
      <w:pPr>
        <w:spacing w:after="0" w:line="240" w:lineRule="auto"/>
        <w:jc w:val="both"/>
        <w:rPr>
          <w:rFonts w:ascii="Tahoma" w:hAnsi="Tahoma" w:cs="Tahoma"/>
          <w:sz w:val="20"/>
          <w:szCs w:val="20"/>
        </w:rPr>
      </w:pPr>
      <w:r>
        <w:rPr>
          <w:rFonts w:ascii="Tahoma" w:hAnsi="Tahoma" w:cs="Tahoma"/>
          <w:sz w:val="20"/>
          <w:szCs w:val="20"/>
        </w:rPr>
        <w:t>Basulto Liewald.</w:t>
      </w:r>
    </w:p>
    <w:p w:rsidR="00CD2781" w:rsidRPr="00CD2781" w:rsidRDefault="00CD2781">
      <w:pPr>
        <w:rPr>
          <w:rFonts w:ascii="Tahoma" w:hAnsi="Tahoma" w:cs="Tahoma"/>
          <w:sz w:val="20"/>
          <w:szCs w:val="20"/>
        </w:rPr>
      </w:pPr>
    </w:p>
    <w:sectPr w:rsidR="00CD2781" w:rsidRPr="00CD2781" w:rsidSect="00CD2781">
      <w:headerReference w:type="default" r:id="rId7"/>
      <w:footerReference w:type="default" r:id="rId8"/>
      <w:pgSz w:w="11906" w:h="16838"/>
      <w:pgMar w:top="2836" w:right="1700" w:bottom="1418"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1CA7" w:rsidRDefault="00B31CA7" w:rsidP="00A266E4">
      <w:pPr>
        <w:spacing w:after="0" w:line="240" w:lineRule="auto"/>
      </w:pPr>
      <w:r>
        <w:separator/>
      </w:r>
    </w:p>
  </w:endnote>
  <w:endnote w:type="continuationSeparator" w:id="1">
    <w:p w:rsidR="00B31CA7" w:rsidRDefault="00B31CA7" w:rsidP="00A266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781" w:rsidRPr="00FD5A0C" w:rsidRDefault="00CD2781">
    <w:pPr>
      <w:pStyle w:val="Piedepgina"/>
      <w:jc w:val="center"/>
      <w:rPr>
        <w:rFonts w:ascii="Tahoma" w:hAnsi="Tahoma" w:cs="Tahoma"/>
        <w:i/>
        <w:sz w:val="18"/>
        <w:szCs w:val="18"/>
      </w:rPr>
    </w:pPr>
    <w:r w:rsidRPr="00FD5A0C">
      <w:rPr>
        <w:rFonts w:ascii="Tahoma" w:hAnsi="Tahoma" w:cs="Tahoma"/>
        <w:i/>
        <w:sz w:val="18"/>
        <w:szCs w:val="18"/>
      </w:rPr>
      <w:t xml:space="preserve">Página </w:t>
    </w:r>
    <w:r w:rsidR="00FA0395" w:rsidRPr="00FD5A0C">
      <w:rPr>
        <w:rFonts w:ascii="Tahoma" w:hAnsi="Tahoma" w:cs="Tahoma"/>
        <w:i/>
        <w:sz w:val="18"/>
        <w:szCs w:val="18"/>
      </w:rPr>
      <w:fldChar w:fldCharType="begin"/>
    </w:r>
    <w:r w:rsidRPr="00FD5A0C">
      <w:rPr>
        <w:rFonts w:ascii="Tahoma" w:hAnsi="Tahoma" w:cs="Tahoma"/>
        <w:i/>
        <w:sz w:val="18"/>
        <w:szCs w:val="18"/>
      </w:rPr>
      <w:instrText>PAGE</w:instrText>
    </w:r>
    <w:r w:rsidR="00FA0395" w:rsidRPr="00FD5A0C">
      <w:rPr>
        <w:rFonts w:ascii="Tahoma" w:hAnsi="Tahoma" w:cs="Tahoma"/>
        <w:i/>
        <w:sz w:val="18"/>
        <w:szCs w:val="18"/>
      </w:rPr>
      <w:fldChar w:fldCharType="separate"/>
    </w:r>
    <w:r w:rsidR="00A91A5E">
      <w:rPr>
        <w:rFonts w:ascii="Tahoma" w:hAnsi="Tahoma" w:cs="Tahoma"/>
        <w:i/>
        <w:noProof/>
        <w:sz w:val="18"/>
        <w:szCs w:val="18"/>
      </w:rPr>
      <w:t>1</w:t>
    </w:r>
    <w:r w:rsidR="00FA0395" w:rsidRPr="00FD5A0C">
      <w:rPr>
        <w:rFonts w:ascii="Tahoma" w:hAnsi="Tahoma" w:cs="Tahoma"/>
        <w:i/>
        <w:sz w:val="18"/>
        <w:szCs w:val="18"/>
      </w:rPr>
      <w:fldChar w:fldCharType="end"/>
    </w:r>
    <w:r w:rsidRPr="00FD5A0C">
      <w:rPr>
        <w:rFonts w:ascii="Tahoma" w:hAnsi="Tahoma" w:cs="Tahoma"/>
        <w:i/>
        <w:sz w:val="18"/>
        <w:szCs w:val="18"/>
      </w:rPr>
      <w:t xml:space="preserve"> de </w:t>
    </w:r>
    <w:r w:rsidR="00FA0395" w:rsidRPr="00FD5A0C">
      <w:rPr>
        <w:rFonts w:ascii="Tahoma" w:hAnsi="Tahoma" w:cs="Tahoma"/>
        <w:i/>
        <w:sz w:val="18"/>
        <w:szCs w:val="18"/>
      </w:rPr>
      <w:fldChar w:fldCharType="begin"/>
    </w:r>
    <w:r w:rsidRPr="00FD5A0C">
      <w:rPr>
        <w:rFonts w:ascii="Tahoma" w:hAnsi="Tahoma" w:cs="Tahoma"/>
        <w:i/>
        <w:sz w:val="18"/>
        <w:szCs w:val="18"/>
      </w:rPr>
      <w:instrText>NUMPAGES</w:instrText>
    </w:r>
    <w:r w:rsidR="00FA0395" w:rsidRPr="00FD5A0C">
      <w:rPr>
        <w:rFonts w:ascii="Tahoma" w:hAnsi="Tahoma" w:cs="Tahoma"/>
        <w:i/>
        <w:sz w:val="18"/>
        <w:szCs w:val="18"/>
      </w:rPr>
      <w:fldChar w:fldCharType="separate"/>
    </w:r>
    <w:r w:rsidR="00A91A5E">
      <w:rPr>
        <w:rFonts w:ascii="Tahoma" w:hAnsi="Tahoma" w:cs="Tahoma"/>
        <w:i/>
        <w:noProof/>
        <w:sz w:val="18"/>
        <w:szCs w:val="18"/>
      </w:rPr>
      <w:t>21</w:t>
    </w:r>
    <w:r w:rsidR="00FA0395" w:rsidRPr="00FD5A0C">
      <w:rPr>
        <w:rFonts w:ascii="Tahoma" w:hAnsi="Tahoma" w:cs="Tahoma"/>
        <w:i/>
        <w:sz w:val="18"/>
        <w:szCs w:val="18"/>
      </w:rPr>
      <w:fldChar w:fldCharType="end"/>
    </w:r>
  </w:p>
  <w:p w:rsidR="00CD2781" w:rsidRDefault="00CD278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1CA7" w:rsidRDefault="00B31CA7" w:rsidP="00A266E4">
      <w:pPr>
        <w:spacing w:after="0" w:line="240" w:lineRule="auto"/>
      </w:pPr>
      <w:r>
        <w:separator/>
      </w:r>
    </w:p>
  </w:footnote>
  <w:footnote w:type="continuationSeparator" w:id="1">
    <w:p w:rsidR="00B31CA7" w:rsidRDefault="00B31CA7" w:rsidP="00A266E4">
      <w:pPr>
        <w:spacing w:after="0" w:line="240" w:lineRule="auto"/>
      </w:pPr>
      <w:r>
        <w:continuationSeparator/>
      </w:r>
    </w:p>
  </w:footnote>
  <w:footnote w:id="2">
    <w:p w:rsidR="00CD2781" w:rsidRDefault="00CD2781" w:rsidP="00A266E4">
      <w:pPr>
        <w:pStyle w:val="Textonotapie"/>
      </w:pPr>
      <w:r w:rsidRPr="00AF65D5">
        <w:rPr>
          <w:rStyle w:val="Refdenotaalpie"/>
          <w:i/>
          <w:iCs/>
          <w:sz w:val="18"/>
          <w:szCs w:val="18"/>
        </w:rPr>
        <w:footnoteRef/>
      </w:r>
      <w:r w:rsidRPr="00AF65D5">
        <w:rPr>
          <w:i/>
          <w:iCs/>
          <w:sz w:val="18"/>
          <w:szCs w:val="18"/>
        </w:rPr>
        <w:t xml:space="preserve"> Aprobada por Decreto Legislativo Nº 1017.</w:t>
      </w:r>
    </w:p>
  </w:footnote>
  <w:footnote w:id="3">
    <w:p w:rsidR="00CD2781" w:rsidRDefault="00CD2781" w:rsidP="00A266E4">
      <w:pPr>
        <w:pStyle w:val="Textonotapie"/>
      </w:pPr>
      <w:r w:rsidRPr="00AF65D5">
        <w:rPr>
          <w:rStyle w:val="Refdenotaalpie"/>
          <w:i/>
          <w:iCs/>
          <w:sz w:val="18"/>
          <w:szCs w:val="18"/>
        </w:rPr>
        <w:footnoteRef/>
      </w:r>
      <w:r w:rsidRPr="00AF65D5">
        <w:rPr>
          <w:i/>
          <w:iCs/>
          <w:sz w:val="18"/>
          <w:szCs w:val="18"/>
        </w:rPr>
        <w:t xml:space="preserve"> Aprobado por Decreto Supremo Nº 184-2008-EF.</w:t>
      </w:r>
    </w:p>
  </w:footnote>
  <w:footnote w:id="4">
    <w:p w:rsidR="00CD2781" w:rsidRDefault="00CD2781" w:rsidP="00A266E4">
      <w:pPr>
        <w:pStyle w:val="Textonotapie"/>
        <w:rPr>
          <w:i/>
          <w:iCs/>
          <w:sz w:val="18"/>
          <w:szCs w:val="18"/>
        </w:rPr>
      </w:pPr>
      <w:r w:rsidRPr="00AF65D5">
        <w:rPr>
          <w:rStyle w:val="Refdenotaalpie"/>
          <w:i/>
          <w:iCs/>
          <w:sz w:val="18"/>
          <w:szCs w:val="18"/>
        </w:rPr>
        <w:footnoteRef/>
      </w:r>
      <w:r w:rsidRPr="00AF65D5">
        <w:rPr>
          <w:i/>
          <w:iCs/>
          <w:sz w:val="18"/>
          <w:szCs w:val="18"/>
        </w:rPr>
        <w:t xml:space="preserve"> </w:t>
      </w:r>
      <w:r>
        <w:rPr>
          <w:i/>
          <w:iCs/>
          <w:sz w:val="18"/>
          <w:szCs w:val="18"/>
        </w:rPr>
        <w:t>Acuerdo dictado en el marco de los entonces vigentes Texto Único Ordenado de la Ley de Contrataciones y Adquisiciones del Estado, aprobado por Decreto Supremo Nº 012-2001-PCM y su Reglamento, aprobado por D.S. Nº 013-2001-PCM, pero que resulta igualmente aplicable en el caso de autos.</w:t>
      </w:r>
    </w:p>
    <w:p w:rsidR="00CD2781" w:rsidRDefault="00CD2781" w:rsidP="00A266E4">
      <w:pPr>
        <w:pStyle w:val="Textonotapie"/>
      </w:pPr>
    </w:p>
  </w:footnote>
  <w:footnote w:id="5">
    <w:p w:rsidR="00CD2781" w:rsidRPr="00D43EA8" w:rsidRDefault="00CD2781" w:rsidP="00A266E4">
      <w:pPr>
        <w:pStyle w:val="Textonotapie"/>
        <w:rPr>
          <w:b/>
          <w:bCs/>
          <w:sz w:val="16"/>
          <w:szCs w:val="16"/>
          <w:lang w:val="es-ES_tradnl"/>
        </w:rPr>
      </w:pPr>
      <w:r w:rsidRPr="00D43EA8">
        <w:rPr>
          <w:rStyle w:val="Refdenotaalpie"/>
          <w:sz w:val="16"/>
          <w:szCs w:val="16"/>
        </w:rPr>
        <w:footnoteRef/>
      </w:r>
      <w:r w:rsidRPr="00D43EA8">
        <w:rPr>
          <w:b/>
          <w:bCs/>
          <w:sz w:val="16"/>
          <w:szCs w:val="16"/>
        </w:rPr>
        <w:t xml:space="preserve"> </w:t>
      </w:r>
      <w:r w:rsidRPr="00D43EA8">
        <w:rPr>
          <w:b/>
          <w:bCs/>
          <w:sz w:val="16"/>
          <w:szCs w:val="16"/>
          <w:lang w:val="es-ES_tradnl"/>
        </w:rPr>
        <w:t>Artículo 245º.- Determinación gradual de la sanción.-</w:t>
      </w:r>
    </w:p>
    <w:p w:rsidR="00CD2781" w:rsidRPr="00D43EA8" w:rsidRDefault="00CD2781" w:rsidP="00A266E4">
      <w:pPr>
        <w:pStyle w:val="Textonotapie"/>
        <w:rPr>
          <w:sz w:val="16"/>
          <w:szCs w:val="16"/>
          <w:lang w:val="es-ES_tradnl"/>
        </w:rPr>
      </w:pPr>
      <w:r w:rsidRPr="00D43EA8">
        <w:rPr>
          <w:sz w:val="16"/>
          <w:szCs w:val="16"/>
          <w:lang w:val="es-ES_tradnl"/>
        </w:rPr>
        <w:t>Para graduar la sanción a imponerse conforme a las disposiciones del presente Título, se considerarán los siguientes criterios:</w:t>
      </w:r>
    </w:p>
    <w:p w:rsidR="00CD2781" w:rsidRPr="00D43EA8" w:rsidRDefault="00CD2781" w:rsidP="00A266E4">
      <w:pPr>
        <w:pStyle w:val="Textonotapie"/>
        <w:numPr>
          <w:ilvl w:val="0"/>
          <w:numId w:val="7"/>
        </w:numPr>
        <w:tabs>
          <w:tab w:val="clear" w:pos="720"/>
          <w:tab w:val="num" w:pos="284"/>
        </w:tabs>
        <w:ind w:left="0" w:firstLine="0"/>
        <w:rPr>
          <w:sz w:val="16"/>
          <w:szCs w:val="16"/>
          <w:lang w:val="es-ES_tradnl"/>
        </w:rPr>
      </w:pPr>
      <w:r w:rsidRPr="00D43EA8">
        <w:rPr>
          <w:sz w:val="16"/>
          <w:szCs w:val="16"/>
          <w:lang w:val="es-ES_tradnl"/>
        </w:rPr>
        <w:t>Naturaleza de la infracción.</w:t>
      </w:r>
    </w:p>
    <w:p w:rsidR="00CD2781" w:rsidRPr="00D43EA8" w:rsidRDefault="00CD2781" w:rsidP="00A266E4">
      <w:pPr>
        <w:pStyle w:val="Textonotapie"/>
        <w:numPr>
          <w:ilvl w:val="0"/>
          <w:numId w:val="7"/>
        </w:numPr>
        <w:tabs>
          <w:tab w:val="clear" w:pos="720"/>
          <w:tab w:val="num" w:pos="284"/>
        </w:tabs>
        <w:ind w:left="0" w:firstLine="0"/>
        <w:rPr>
          <w:sz w:val="16"/>
          <w:szCs w:val="16"/>
          <w:lang w:val="es-ES_tradnl"/>
        </w:rPr>
      </w:pPr>
      <w:r w:rsidRPr="00D43EA8">
        <w:rPr>
          <w:sz w:val="16"/>
          <w:szCs w:val="16"/>
          <w:lang w:val="es-ES_tradnl"/>
        </w:rPr>
        <w:t>Intencionalidad del infractor.</w:t>
      </w:r>
    </w:p>
    <w:p w:rsidR="00CD2781" w:rsidRPr="00D43EA8" w:rsidRDefault="00CD2781" w:rsidP="00A266E4">
      <w:pPr>
        <w:pStyle w:val="Textonotapie"/>
        <w:numPr>
          <w:ilvl w:val="0"/>
          <w:numId w:val="7"/>
        </w:numPr>
        <w:tabs>
          <w:tab w:val="clear" w:pos="720"/>
          <w:tab w:val="num" w:pos="284"/>
        </w:tabs>
        <w:ind w:left="0" w:firstLine="0"/>
        <w:rPr>
          <w:sz w:val="16"/>
          <w:szCs w:val="16"/>
          <w:lang w:val="es-ES_tradnl"/>
        </w:rPr>
      </w:pPr>
      <w:r w:rsidRPr="00D43EA8">
        <w:rPr>
          <w:sz w:val="16"/>
          <w:szCs w:val="16"/>
          <w:lang w:val="es-ES_tradnl"/>
        </w:rPr>
        <w:t>Daño causado.</w:t>
      </w:r>
    </w:p>
    <w:p w:rsidR="00CD2781" w:rsidRPr="00D43EA8" w:rsidRDefault="00CD2781" w:rsidP="00A266E4">
      <w:pPr>
        <w:pStyle w:val="Textonotapie"/>
        <w:numPr>
          <w:ilvl w:val="0"/>
          <w:numId w:val="7"/>
        </w:numPr>
        <w:tabs>
          <w:tab w:val="clear" w:pos="720"/>
          <w:tab w:val="num" w:pos="284"/>
        </w:tabs>
        <w:ind w:left="0" w:firstLine="0"/>
        <w:rPr>
          <w:sz w:val="16"/>
          <w:szCs w:val="16"/>
          <w:lang w:val="es-ES_tradnl"/>
        </w:rPr>
      </w:pPr>
      <w:r w:rsidRPr="00D43EA8">
        <w:rPr>
          <w:sz w:val="16"/>
          <w:szCs w:val="16"/>
          <w:lang w:val="es-ES_tradnl"/>
        </w:rPr>
        <w:t>Reiterancia.</w:t>
      </w:r>
    </w:p>
    <w:p w:rsidR="00CD2781" w:rsidRPr="00D43EA8" w:rsidRDefault="00CD2781" w:rsidP="00A266E4">
      <w:pPr>
        <w:pStyle w:val="Textonotapie"/>
        <w:numPr>
          <w:ilvl w:val="0"/>
          <w:numId w:val="7"/>
        </w:numPr>
        <w:tabs>
          <w:tab w:val="clear" w:pos="720"/>
          <w:tab w:val="num" w:pos="284"/>
        </w:tabs>
        <w:ind w:left="0" w:firstLine="0"/>
        <w:rPr>
          <w:sz w:val="16"/>
          <w:szCs w:val="16"/>
          <w:lang w:val="es-ES_tradnl"/>
        </w:rPr>
      </w:pPr>
      <w:r w:rsidRPr="00D43EA8">
        <w:rPr>
          <w:sz w:val="16"/>
          <w:szCs w:val="16"/>
          <w:lang w:val="es-ES_tradnl"/>
        </w:rPr>
        <w:t>El reconocimiento de la infracción cometida antes de que sea detectada.</w:t>
      </w:r>
    </w:p>
    <w:p w:rsidR="00CD2781" w:rsidRPr="00D43EA8" w:rsidRDefault="00CD2781" w:rsidP="00A266E4">
      <w:pPr>
        <w:pStyle w:val="Textonotapie"/>
        <w:numPr>
          <w:ilvl w:val="0"/>
          <w:numId w:val="7"/>
        </w:numPr>
        <w:tabs>
          <w:tab w:val="clear" w:pos="720"/>
          <w:tab w:val="num" w:pos="284"/>
        </w:tabs>
        <w:ind w:left="0" w:firstLine="0"/>
        <w:rPr>
          <w:sz w:val="16"/>
          <w:szCs w:val="16"/>
          <w:lang w:val="es-ES_tradnl"/>
        </w:rPr>
      </w:pPr>
      <w:r w:rsidRPr="00D43EA8">
        <w:rPr>
          <w:sz w:val="16"/>
          <w:szCs w:val="16"/>
          <w:lang w:val="es-ES_tradnl"/>
        </w:rPr>
        <w:t>Circunstancias de tiempo, lugar y modo.</w:t>
      </w:r>
    </w:p>
    <w:p w:rsidR="00CD2781" w:rsidRPr="00D43EA8" w:rsidRDefault="00CD2781" w:rsidP="00A266E4">
      <w:pPr>
        <w:pStyle w:val="Textonotapie"/>
        <w:numPr>
          <w:ilvl w:val="0"/>
          <w:numId w:val="7"/>
        </w:numPr>
        <w:tabs>
          <w:tab w:val="clear" w:pos="720"/>
          <w:tab w:val="num" w:pos="284"/>
        </w:tabs>
        <w:ind w:left="0" w:firstLine="0"/>
        <w:rPr>
          <w:sz w:val="16"/>
          <w:szCs w:val="16"/>
          <w:lang w:val="es-ES_tradnl"/>
        </w:rPr>
      </w:pPr>
      <w:r w:rsidRPr="00D43EA8">
        <w:rPr>
          <w:sz w:val="16"/>
          <w:szCs w:val="16"/>
          <w:lang w:val="es-ES_tradnl"/>
        </w:rPr>
        <w:t>Condiciones del infractor.</w:t>
      </w:r>
    </w:p>
    <w:p w:rsidR="00CD2781" w:rsidRDefault="00CD2781" w:rsidP="00A266E4">
      <w:pPr>
        <w:pStyle w:val="Textonotapie"/>
        <w:numPr>
          <w:ilvl w:val="0"/>
          <w:numId w:val="7"/>
        </w:numPr>
        <w:tabs>
          <w:tab w:val="clear" w:pos="720"/>
          <w:tab w:val="num" w:pos="284"/>
        </w:tabs>
        <w:ind w:left="0" w:firstLine="0"/>
      </w:pPr>
      <w:r w:rsidRPr="00D43EA8">
        <w:rPr>
          <w:sz w:val="16"/>
          <w:szCs w:val="16"/>
          <w:lang w:val="es-ES_tradnl"/>
        </w:rPr>
        <w:t>Conducta procesal del infractor.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A5E" w:rsidRDefault="00A91A5E" w:rsidP="00A91A5E">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A91A5E" w:rsidRDefault="00A91A5E" w:rsidP="00A91A5E">
    <w:pPr>
      <w:pStyle w:val="Encabezado"/>
      <w:rPr>
        <w:noProof/>
      </w:rPr>
    </w:pPr>
  </w:p>
  <w:p w:rsidR="00A91A5E" w:rsidRDefault="00A91A5E" w:rsidP="00A91A5E">
    <w:pPr>
      <w:pStyle w:val="Encabezado"/>
      <w:rPr>
        <w:noProof/>
      </w:rPr>
    </w:pPr>
  </w:p>
  <w:p w:rsidR="00A91A5E" w:rsidRDefault="00A91A5E" w:rsidP="00A91A5E">
    <w:pPr>
      <w:pStyle w:val="Encabezado"/>
      <w:rPr>
        <w:noProof/>
      </w:rPr>
    </w:pPr>
  </w:p>
  <w:p w:rsidR="00A91A5E" w:rsidRDefault="00A91A5E" w:rsidP="00A91A5E">
    <w:pPr>
      <w:pStyle w:val="Encabezado"/>
      <w:jc w:val="center"/>
    </w:pPr>
    <w:r>
      <w:rPr>
        <w:rFonts w:ascii="Monotype Corsiva" w:hAnsi="Monotype Corsiva"/>
        <w:b/>
        <w:sz w:val="44"/>
        <w:szCs w:val="44"/>
      </w:rPr>
      <w:t xml:space="preserve">Resolución Nº   </w:t>
    </w:r>
    <w:r>
      <w:rPr>
        <w:rFonts w:ascii="Tahoma" w:hAnsi="Tahoma" w:cs="Tahoma"/>
        <w:b/>
        <w:sz w:val="44"/>
        <w:szCs w:val="44"/>
      </w:rPr>
      <w:t>830-2011-TC-S1</w:t>
    </w:r>
  </w:p>
  <w:p w:rsidR="00A91A5E" w:rsidRDefault="00A91A5E">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FD4CD558"/>
    <w:lvl w:ilvl="0" w:tplc="3D7E8B80">
      <w:start w:val="1"/>
      <w:numFmt w:val="decimal"/>
      <w:lvlText w:val="%1."/>
      <w:lvlJc w:val="left"/>
      <w:pPr>
        <w:tabs>
          <w:tab w:val="num" w:pos="644"/>
        </w:tabs>
        <w:ind w:left="644" w:hanging="360"/>
      </w:pPr>
      <w:rPr>
        <w:b/>
        <w:bCs/>
      </w:rPr>
    </w:lvl>
    <w:lvl w:ilvl="1" w:tplc="0C0A0019">
      <w:start w:val="1"/>
      <w:numFmt w:val="lowerLetter"/>
      <w:lvlText w:val="%2."/>
      <w:lvlJc w:val="left"/>
      <w:pPr>
        <w:tabs>
          <w:tab w:val="num" w:pos="1620"/>
        </w:tabs>
        <w:ind w:left="1620" w:hanging="360"/>
      </w:pPr>
    </w:lvl>
    <w:lvl w:ilvl="2" w:tplc="0C0A001B">
      <w:start w:val="1"/>
      <w:numFmt w:val="decimal"/>
      <w:lvlText w:val="%3."/>
      <w:lvlJc w:val="left"/>
      <w:pPr>
        <w:tabs>
          <w:tab w:val="num" w:pos="2340"/>
        </w:tabs>
        <w:ind w:left="2340" w:hanging="360"/>
      </w:pPr>
    </w:lvl>
    <w:lvl w:ilvl="3" w:tplc="0C0A000F">
      <w:start w:val="1"/>
      <w:numFmt w:val="decimal"/>
      <w:lvlText w:val="%4."/>
      <w:lvlJc w:val="left"/>
      <w:pPr>
        <w:tabs>
          <w:tab w:val="num" w:pos="900"/>
        </w:tabs>
        <w:ind w:left="900" w:hanging="360"/>
      </w:pPr>
      <w:rPr>
        <w:b/>
        <w:bCs/>
      </w:rPr>
    </w:lvl>
    <w:lvl w:ilvl="4" w:tplc="0C0A0019">
      <w:start w:val="1"/>
      <w:numFmt w:val="decimal"/>
      <w:lvlText w:val="%5."/>
      <w:lvlJc w:val="left"/>
      <w:pPr>
        <w:tabs>
          <w:tab w:val="num" w:pos="3780"/>
        </w:tabs>
        <w:ind w:left="3780" w:hanging="360"/>
      </w:pPr>
    </w:lvl>
    <w:lvl w:ilvl="5" w:tplc="0C0A001B">
      <w:start w:val="1"/>
      <w:numFmt w:val="decimal"/>
      <w:lvlText w:val="%6."/>
      <w:lvlJc w:val="left"/>
      <w:pPr>
        <w:tabs>
          <w:tab w:val="num" w:pos="4500"/>
        </w:tabs>
        <w:ind w:left="4500" w:hanging="360"/>
      </w:pPr>
    </w:lvl>
    <w:lvl w:ilvl="6" w:tplc="0C0A000F">
      <w:start w:val="1"/>
      <w:numFmt w:val="decimal"/>
      <w:lvlText w:val="%7."/>
      <w:lvlJc w:val="left"/>
      <w:pPr>
        <w:tabs>
          <w:tab w:val="num" w:pos="5220"/>
        </w:tabs>
        <w:ind w:left="5220" w:hanging="360"/>
      </w:pPr>
    </w:lvl>
    <w:lvl w:ilvl="7" w:tplc="0C0A0019">
      <w:start w:val="1"/>
      <w:numFmt w:val="decimal"/>
      <w:lvlText w:val="%8."/>
      <w:lvlJc w:val="left"/>
      <w:pPr>
        <w:tabs>
          <w:tab w:val="num" w:pos="5940"/>
        </w:tabs>
        <w:ind w:left="5940" w:hanging="360"/>
      </w:pPr>
    </w:lvl>
    <w:lvl w:ilvl="8" w:tplc="0C0A001B">
      <w:start w:val="1"/>
      <w:numFmt w:val="decimal"/>
      <w:lvlText w:val="%9."/>
      <w:lvlJc w:val="left"/>
      <w:pPr>
        <w:tabs>
          <w:tab w:val="num" w:pos="6660"/>
        </w:tabs>
        <w:ind w:left="6660" w:hanging="360"/>
      </w:pPr>
    </w:lvl>
  </w:abstractNum>
  <w:abstractNum w:abstractNumId="1">
    <w:nsid w:val="067F6C2B"/>
    <w:multiLevelType w:val="hybridMultilevel"/>
    <w:tmpl w:val="10D4FE8A"/>
    <w:lvl w:ilvl="0" w:tplc="0C0A0019">
      <w:start w:val="1"/>
      <w:numFmt w:val="lowerLetter"/>
      <w:lvlText w:val="%1."/>
      <w:lvlJc w:val="lef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abstractNum w:abstractNumId="2">
    <w:nsid w:val="0D89661A"/>
    <w:multiLevelType w:val="hybridMultilevel"/>
    <w:tmpl w:val="5ED447A4"/>
    <w:lvl w:ilvl="0" w:tplc="CDE0A59A">
      <w:start w:val="1"/>
      <w:numFmt w:val="decimal"/>
      <w:lvlText w:val="%1."/>
      <w:lvlJc w:val="left"/>
      <w:pPr>
        <w:tabs>
          <w:tab w:val="num" w:pos="454"/>
        </w:tabs>
        <w:ind w:left="454" w:hanging="454"/>
      </w:pPr>
      <w:rPr>
        <w:rFonts w:ascii="Tahoma" w:hAnsi="Tahoma" w:cs="Tahoma" w:hint="default"/>
        <w:b/>
        <w:bCs w:val="0"/>
        <w:i w:val="0"/>
        <w:iCs w:val="0"/>
        <w:outline w:val="0"/>
        <w:shadow/>
        <w:emboss w:val="0"/>
        <w:imprint w:val="0"/>
        <w:color w:val="auto"/>
        <w:sz w:val="20"/>
        <w:szCs w:val="20"/>
        <w:effect w:val="none"/>
      </w:rPr>
    </w:lvl>
    <w:lvl w:ilvl="1" w:tplc="5BA68C46">
      <w:start w:val="1"/>
      <w:numFmt w:val="lowerRoman"/>
      <w:lvlText w:val="(%2)"/>
      <w:lvlJc w:val="left"/>
      <w:pPr>
        <w:tabs>
          <w:tab w:val="num" w:pos="1800"/>
        </w:tabs>
        <w:ind w:left="1800" w:hanging="720"/>
      </w:pPr>
      <w:rPr>
        <w:b/>
        <w:bCs/>
      </w:rPr>
    </w:lvl>
    <w:lvl w:ilvl="2" w:tplc="91224666">
      <w:start w:val="1"/>
      <w:numFmt w:val="lowerRoman"/>
      <w:lvlText w:val="%3."/>
      <w:lvlJc w:val="left"/>
      <w:pPr>
        <w:tabs>
          <w:tab w:val="num" w:pos="1800"/>
        </w:tabs>
        <w:ind w:left="1800" w:hanging="720"/>
      </w:pPr>
      <w:rPr>
        <w:b/>
        <w:bCs/>
      </w:rPr>
    </w:lvl>
    <w:lvl w:ilvl="3" w:tplc="E034C060">
      <w:start w:val="1"/>
      <w:numFmt w:val="lowerLetter"/>
      <w:lvlText w:val="%4."/>
      <w:lvlJc w:val="left"/>
      <w:pPr>
        <w:tabs>
          <w:tab w:val="num" w:pos="2880"/>
        </w:tabs>
        <w:ind w:left="2880" w:hanging="360"/>
      </w:pPr>
      <w:rPr>
        <w:b/>
        <w:bCs/>
      </w:r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nsid w:val="11440F8C"/>
    <w:multiLevelType w:val="hybridMultilevel"/>
    <w:tmpl w:val="43E8989A"/>
    <w:lvl w:ilvl="0" w:tplc="0C0A0019">
      <w:start w:val="1"/>
      <w:numFmt w:val="lowerLetter"/>
      <w:lvlText w:val="%1."/>
      <w:lvlJc w:val="lef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abstractNum w:abstractNumId="4">
    <w:nsid w:val="1A654C9E"/>
    <w:multiLevelType w:val="hybridMultilevel"/>
    <w:tmpl w:val="D7F680A0"/>
    <w:lvl w:ilvl="0" w:tplc="08A602CE">
      <w:start w:val="1"/>
      <w:numFmt w:val="decimal"/>
      <w:lvlText w:val="%1."/>
      <w:lvlJc w:val="left"/>
      <w:pPr>
        <w:tabs>
          <w:tab w:val="num" w:pos="360"/>
        </w:tabs>
        <w:ind w:left="360" w:hanging="360"/>
      </w:pPr>
      <w:rPr>
        <w:rFonts w:ascii="Tahoma" w:hAnsi="Tahoma" w:cs="Tahoma" w:hint="default"/>
        <w:b/>
        <w:bCs/>
        <w:i w:val="0"/>
        <w:iCs w:val="0"/>
        <w:sz w:val="20"/>
        <w:szCs w:val="20"/>
      </w:rPr>
    </w:lvl>
    <w:lvl w:ilvl="1" w:tplc="0C0A0019">
      <w:start w:val="1"/>
      <w:numFmt w:val="lowerLetter"/>
      <w:lvlText w:val="%2."/>
      <w:lvlJc w:val="left"/>
      <w:pPr>
        <w:tabs>
          <w:tab w:val="num" w:pos="360"/>
        </w:tabs>
        <w:ind w:left="360" w:hanging="360"/>
      </w:pPr>
    </w:lvl>
    <w:lvl w:ilvl="2" w:tplc="0C0A001B">
      <w:start w:val="1"/>
      <w:numFmt w:val="lowerRoman"/>
      <w:lvlText w:val="%3."/>
      <w:lvlJc w:val="right"/>
      <w:pPr>
        <w:tabs>
          <w:tab w:val="num" w:pos="1080"/>
        </w:tabs>
        <w:ind w:left="1080" w:hanging="180"/>
      </w:pPr>
    </w:lvl>
    <w:lvl w:ilvl="3" w:tplc="0C0A000F">
      <w:start w:val="1"/>
      <w:numFmt w:val="decimal"/>
      <w:lvlText w:val="%4."/>
      <w:lvlJc w:val="left"/>
      <w:pPr>
        <w:tabs>
          <w:tab w:val="num" w:pos="1800"/>
        </w:tabs>
        <w:ind w:left="1800" w:hanging="360"/>
      </w:pPr>
    </w:lvl>
    <w:lvl w:ilvl="4" w:tplc="0C0A0019">
      <w:start w:val="1"/>
      <w:numFmt w:val="lowerLetter"/>
      <w:lvlText w:val="%5."/>
      <w:lvlJc w:val="left"/>
      <w:pPr>
        <w:tabs>
          <w:tab w:val="num" w:pos="2520"/>
        </w:tabs>
        <w:ind w:left="2520" w:hanging="360"/>
      </w:pPr>
    </w:lvl>
    <w:lvl w:ilvl="5" w:tplc="0C0A001B">
      <w:start w:val="1"/>
      <w:numFmt w:val="lowerRoman"/>
      <w:lvlText w:val="%6."/>
      <w:lvlJc w:val="right"/>
      <w:pPr>
        <w:tabs>
          <w:tab w:val="num" w:pos="3240"/>
        </w:tabs>
        <w:ind w:left="3240" w:hanging="180"/>
      </w:pPr>
    </w:lvl>
    <w:lvl w:ilvl="6" w:tplc="0C0A000F">
      <w:start w:val="1"/>
      <w:numFmt w:val="decimal"/>
      <w:lvlText w:val="%7."/>
      <w:lvlJc w:val="left"/>
      <w:pPr>
        <w:tabs>
          <w:tab w:val="num" w:pos="3960"/>
        </w:tabs>
        <w:ind w:left="3960" w:hanging="360"/>
      </w:pPr>
    </w:lvl>
    <w:lvl w:ilvl="7" w:tplc="0C0A0019">
      <w:start w:val="1"/>
      <w:numFmt w:val="lowerLetter"/>
      <w:lvlText w:val="%8."/>
      <w:lvlJc w:val="left"/>
      <w:pPr>
        <w:tabs>
          <w:tab w:val="num" w:pos="4680"/>
        </w:tabs>
        <w:ind w:left="4680" w:hanging="360"/>
      </w:pPr>
    </w:lvl>
    <w:lvl w:ilvl="8" w:tplc="0C0A001B">
      <w:start w:val="1"/>
      <w:numFmt w:val="lowerRoman"/>
      <w:lvlText w:val="%9."/>
      <w:lvlJc w:val="right"/>
      <w:pPr>
        <w:tabs>
          <w:tab w:val="num" w:pos="5400"/>
        </w:tabs>
        <w:ind w:left="5400" w:hanging="180"/>
      </w:pPr>
    </w:lvl>
  </w:abstractNum>
  <w:abstractNum w:abstractNumId="5">
    <w:nsid w:val="1E2A5D4D"/>
    <w:multiLevelType w:val="hybridMultilevel"/>
    <w:tmpl w:val="4BFEB4A2"/>
    <w:lvl w:ilvl="0" w:tplc="0C0A0001">
      <w:start w:val="1"/>
      <w:numFmt w:val="bullet"/>
      <w:lvlText w:val=""/>
      <w:lvlJc w:val="left"/>
      <w:pPr>
        <w:tabs>
          <w:tab w:val="num" w:pos="1275"/>
        </w:tabs>
        <w:ind w:left="1275" w:hanging="360"/>
      </w:pPr>
      <w:rPr>
        <w:rFonts w:ascii="Symbol" w:hAnsi="Symbol" w:cs="Symbol" w:hint="default"/>
      </w:rPr>
    </w:lvl>
    <w:lvl w:ilvl="1" w:tplc="0C0A000F">
      <w:start w:val="1"/>
      <w:numFmt w:val="decimal"/>
      <w:lvlText w:val="%2."/>
      <w:lvlJc w:val="left"/>
      <w:pPr>
        <w:tabs>
          <w:tab w:val="num" w:pos="1995"/>
        </w:tabs>
        <w:ind w:left="1995" w:hanging="360"/>
      </w:pPr>
      <w:rPr>
        <w:rFonts w:hint="default"/>
      </w:rPr>
    </w:lvl>
    <w:lvl w:ilvl="2" w:tplc="0C0A0005">
      <w:start w:val="1"/>
      <w:numFmt w:val="bullet"/>
      <w:lvlText w:val=""/>
      <w:lvlJc w:val="left"/>
      <w:pPr>
        <w:tabs>
          <w:tab w:val="num" w:pos="2715"/>
        </w:tabs>
        <w:ind w:left="2715" w:hanging="360"/>
      </w:pPr>
      <w:rPr>
        <w:rFonts w:ascii="Wingdings" w:hAnsi="Wingdings" w:cs="Wingdings" w:hint="default"/>
      </w:rPr>
    </w:lvl>
    <w:lvl w:ilvl="3" w:tplc="0C0A0001">
      <w:start w:val="1"/>
      <w:numFmt w:val="bullet"/>
      <w:lvlText w:val=""/>
      <w:lvlJc w:val="left"/>
      <w:pPr>
        <w:tabs>
          <w:tab w:val="num" w:pos="3435"/>
        </w:tabs>
        <w:ind w:left="3435" w:hanging="360"/>
      </w:pPr>
      <w:rPr>
        <w:rFonts w:ascii="Symbol" w:hAnsi="Symbol" w:cs="Symbol" w:hint="default"/>
      </w:rPr>
    </w:lvl>
    <w:lvl w:ilvl="4" w:tplc="0C0A0003">
      <w:start w:val="1"/>
      <w:numFmt w:val="bullet"/>
      <w:lvlText w:val="o"/>
      <w:lvlJc w:val="left"/>
      <w:pPr>
        <w:tabs>
          <w:tab w:val="num" w:pos="4155"/>
        </w:tabs>
        <w:ind w:left="4155" w:hanging="360"/>
      </w:pPr>
      <w:rPr>
        <w:rFonts w:ascii="Courier New" w:hAnsi="Courier New" w:cs="Courier New" w:hint="default"/>
      </w:rPr>
    </w:lvl>
    <w:lvl w:ilvl="5" w:tplc="0C0A0005">
      <w:start w:val="1"/>
      <w:numFmt w:val="bullet"/>
      <w:lvlText w:val=""/>
      <w:lvlJc w:val="left"/>
      <w:pPr>
        <w:tabs>
          <w:tab w:val="num" w:pos="4875"/>
        </w:tabs>
        <w:ind w:left="4875" w:hanging="360"/>
      </w:pPr>
      <w:rPr>
        <w:rFonts w:ascii="Wingdings" w:hAnsi="Wingdings" w:cs="Wingdings" w:hint="default"/>
      </w:rPr>
    </w:lvl>
    <w:lvl w:ilvl="6" w:tplc="0C0A0001">
      <w:start w:val="1"/>
      <w:numFmt w:val="bullet"/>
      <w:lvlText w:val=""/>
      <w:lvlJc w:val="left"/>
      <w:pPr>
        <w:tabs>
          <w:tab w:val="num" w:pos="5595"/>
        </w:tabs>
        <w:ind w:left="5595" w:hanging="360"/>
      </w:pPr>
      <w:rPr>
        <w:rFonts w:ascii="Symbol" w:hAnsi="Symbol" w:cs="Symbol" w:hint="default"/>
      </w:rPr>
    </w:lvl>
    <w:lvl w:ilvl="7" w:tplc="0C0A0003">
      <w:start w:val="1"/>
      <w:numFmt w:val="bullet"/>
      <w:lvlText w:val="o"/>
      <w:lvlJc w:val="left"/>
      <w:pPr>
        <w:tabs>
          <w:tab w:val="num" w:pos="6315"/>
        </w:tabs>
        <w:ind w:left="6315" w:hanging="360"/>
      </w:pPr>
      <w:rPr>
        <w:rFonts w:ascii="Courier New" w:hAnsi="Courier New" w:cs="Courier New" w:hint="default"/>
      </w:rPr>
    </w:lvl>
    <w:lvl w:ilvl="8" w:tplc="0C0A0005">
      <w:start w:val="1"/>
      <w:numFmt w:val="bullet"/>
      <w:lvlText w:val=""/>
      <w:lvlJc w:val="left"/>
      <w:pPr>
        <w:tabs>
          <w:tab w:val="num" w:pos="7035"/>
        </w:tabs>
        <w:ind w:left="7035" w:hanging="360"/>
      </w:pPr>
      <w:rPr>
        <w:rFonts w:ascii="Wingdings" w:hAnsi="Wingdings" w:cs="Wingdings" w:hint="default"/>
      </w:rPr>
    </w:lvl>
  </w:abstractNum>
  <w:abstractNum w:abstractNumId="6">
    <w:nsid w:val="278C6CAC"/>
    <w:multiLevelType w:val="hybridMultilevel"/>
    <w:tmpl w:val="0DAE4746"/>
    <w:lvl w:ilvl="0" w:tplc="0C0A0019">
      <w:start w:val="1"/>
      <w:numFmt w:val="lowerLetter"/>
      <w:lvlText w:val="%1."/>
      <w:lvlJc w:val="left"/>
      <w:pPr>
        <w:tabs>
          <w:tab w:val="num" w:pos="720"/>
        </w:tabs>
        <w:ind w:left="720" w:hanging="360"/>
      </w:pPr>
    </w:lvl>
    <w:lvl w:ilvl="1" w:tplc="040A0019">
      <w:start w:val="1"/>
      <w:numFmt w:val="lowerLetter"/>
      <w:lvlText w:val="%2."/>
      <w:lvlJc w:val="left"/>
      <w:pPr>
        <w:tabs>
          <w:tab w:val="num" w:pos="1440"/>
        </w:tabs>
        <w:ind w:left="1440" w:hanging="360"/>
      </w:pPr>
    </w:lvl>
    <w:lvl w:ilvl="2" w:tplc="040A001B">
      <w:start w:val="1"/>
      <w:numFmt w:val="lowerRoman"/>
      <w:lvlText w:val="%3."/>
      <w:lvlJc w:val="right"/>
      <w:pPr>
        <w:tabs>
          <w:tab w:val="num" w:pos="2160"/>
        </w:tabs>
        <w:ind w:left="2160" w:hanging="180"/>
      </w:pPr>
    </w:lvl>
    <w:lvl w:ilvl="3" w:tplc="040A000F">
      <w:start w:val="1"/>
      <w:numFmt w:val="decimal"/>
      <w:lvlText w:val="%4."/>
      <w:lvlJc w:val="left"/>
      <w:pPr>
        <w:tabs>
          <w:tab w:val="num" w:pos="2880"/>
        </w:tabs>
        <w:ind w:left="2880" w:hanging="360"/>
      </w:pPr>
    </w:lvl>
    <w:lvl w:ilvl="4" w:tplc="040A0019">
      <w:start w:val="1"/>
      <w:numFmt w:val="lowerLetter"/>
      <w:lvlText w:val="%5."/>
      <w:lvlJc w:val="left"/>
      <w:pPr>
        <w:tabs>
          <w:tab w:val="num" w:pos="3600"/>
        </w:tabs>
        <w:ind w:left="3600" w:hanging="360"/>
      </w:pPr>
    </w:lvl>
    <w:lvl w:ilvl="5" w:tplc="040A001B">
      <w:start w:val="1"/>
      <w:numFmt w:val="lowerRoman"/>
      <w:lvlText w:val="%6."/>
      <w:lvlJc w:val="right"/>
      <w:pPr>
        <w:tabs>
          <w:tab w:val="num" w:pos="4320"/>
        </w:tabs>
        <w:ind w:left="4320" w:hanging="180"/>
      </w:pPr>
    </w:lvl>
    <w:lvl w:ilvl="6" w:tplc="040A000F">
      <w:start w:val="1"/>
      <w:numFmt w:val="decimal"/>
      <w:lvlText w:val="%7."/>
      <w:lvlJc w:val="left"/>
      <w:pPr>
        <w:tabs>
          <w:tab w:val="num" w:pos="5040"/>
        </w:tabs>
        <w:ind w:left="5040" w:hanging="360"/>
      </w:pPr>
    </w:lvl>
    <w:lvl w:ilvl="7" w:tplc="040A0019">
      <w:start w:val="1"/>
      <w:numFmt w:val="lowerLetter"/>
      <w:lvlText w:val="%8."/>
      <w:lvlJc w:val="left"/>
      <w:pPr>
        <w:tabs>
          <w:tab w:val="num" w:pos="5760"/>
        </w:tabs>
        <w:ind w:left="5760" w:hanging="360"/>
      </w:pPr>
    </w:lvl>
    <w:lvl w:ilvl="8" w:tplc="040A001B">
      <w:start w:val="1"/>
      <w:numFmt w:val="lowerRoman"/>
      <w:lvlText w:val="%9."/>
      <w:lvlJc w:val="right"/>
      <w:pPr>
        <w:tabs>
          <w:tab w:val="num" w:pos="6480"/>
        </w:tabs>
        <w:ind w:left="6480" w:hanging="180"/>
      </w:pPr>
    </w:lvl>
  </w:abstractNum>
  <w:abstractNum w:abstractNumId="7">
    <w:nsid w:val="2A604CF2"/>
    <w:multiLevelType w:val="hybridMultilevel"/>
    <w:tmpl w:val="0EDE9BEA"/>
    <w:lvl w:ilvl="0" w:tplc="0EECAF6A">
      <w:start w:val="1"/>
      <w:numFmt w:val="decimal"/>
      <w:lvlText w:val="%1)"/>
      <w:lvlJc w:val="left"/>
      <w:pPr>
        <w:tabs>
          <w:tab w:val="num" w:pos="720"/>
        </w:tabs>
        <w:ind w:left="720" w:hanging="360"/>
      </w:pPr>
      <w:rPr>
        <w:rFonts w:hint="default"/>
        <w:sz w:val="16"/>
        <w:szCs w:val="16"/>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8">
    <w:nsid w:val="32466705"/>
    <w:multiLevelType w:val="multilevel"/>
    <w:tmpl w:val="33B89EA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438A3590"/>
    <w:multiLevelType w:val="hybridMultilevel"/>
    <w:tmpl w:val="DC5E7E28"/>
    <w:lvl w:ilvl="0" w:tplc="3B021508">
      <w:start w:val="1"/>
      <w:numFmt w:val="lowerLetter"/>
      <w:lvlText w:val="%1."/>
      <w:lvlJc w:val="left"/>
      <w:pPr>
        <w:ind w:left="1174" w:hanging="360"/>
      </w:pPr>
      <w:rPr>
        <w:i w:val="0"/>
        <w:iCs w:val="0"/>
      </w:r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abstractNum w:abstractNumId="10">
    <w:nsid w:val="47345D84"/>
    <w:multiLevelType w:val="hybridMultilevel"/>
    <w:tmpl w:val="D5FCB66C"/>
    <w:lvl w:ilvl="0" w:tplc="0C0A0019">
      <w:start w:val="1"/>
      <w:numFmt w:val="lowerLetter"/>
      <w:lvlText w:val="%1."/>
      <w:lvlJc w:val="lef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abstractNum w:abstractNumId="11">
    <w:nsid w:val="482A3B48"/>
    <w:multiLevelType w:val="hybridMultilevel"/>
    <w:tmpl w:val="2A405E54"/>
    <w:lvl w:ilvl="0" w:tplc="0C0A0001">
      <w:start w:val="1"/>
      <w:numFmt w:val="bullet"/>
      <w:lvlText w:val=""/>
      <w:lvlJc w:val="left"/>
      <w:pPr>
        <w:tabs>
          <w:tab w:val="num" w:pos="1440"/>
        </w:tabs>
        <w:ind w:left="1440" w:hanging="360"/>
      </w:pPr>
      <w:rPr>
        <w:rFonts w:ascii="Symbol" w:hAnsi="Symbol" w:cs="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2">
    <w:nsid w:val="51306FD4"/>
    <w:multiLevelType w:val="hybridMultilevel"/>
    <w:tmpl w:val="D178A520"/>
    <w:lvl w:ilvl="0" w:tplc="0C0A000F">
      <w:start w:val="1"/>
      <w:numFmt w:val="decimal"/>
      <w:lvlText w:val="%1."/>
      <w:lvlJc w:val="lef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13">
    <w:nsid w:val="5B3E1F50"/>
    <w:multiLevelType w:val="hybridMultilevel"/>
    <w:tmpl w:val="D00A945A"/>
    <w:lvl w:ilvl="0" w:tplc="8EA03CE0">
      <w:start w:val="1"/>
      <w:numFmt w:val="decimal"/>
      <w:lvlText w:val="%1."/>
      <w:lvlJc w:val="right"/>
      <w:pPr>
        <w:ind w:left="720" w:hanging="360"/>
      </w:pPr>
      <w:rPr>
        <w:rFonts w:ascii="Tahoma" w:hAnsi="Tahoma" w:cs="Tahoma" w:hint="default"/>
        <w:b/>
        <w:bCs/>
        <w:i w:val="0"/>
        <w:iCs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4">
    <w:nsid w:val="5BA761F1"/>
    <w:multiLevelType w:val="hybridMultilevel"/>
    <w:tmpl w:val="44362F42"/>
    <w:lvl w:ilvl="0" w:tplc="0C0A0001">
      <w:start w:val="1"/>
      <w:numFmt w:val="bullet"/>
      <w:lvlText w:val=""/>
      <w:lvlJc w:val="left"/>
      <w:pPr>
        <w:tabs>
          <w:tab w:val="num" w:pos="1155"/>
        </w:tabs>
        <w:ind w:left="1155" w:hanging="360"/>
      </w:pPr>
      <w:rPr>
        <w:rFonts w:ascii="Symbol" w:hAnsi="Symbol" w:cs="Symbol" w:hint="default"/>
      </w:rPr>
    </w:lvl>
    <w:lvl w:ilvl="1" w:tplc="0C0A0003">
      <w:start w:val="1"/>
      <w:numFmt w:val="bullet"/>
      <w:lvlText w:val="o"/>
      <w:lvlJc w:val="left"/>
      <w:pPr>
        <w:tabs>
          <w:tab w:val="num" w:pos="1875"/>
        </w:tabs>
        <w:ind w:left="1875" w:hanging="360"/>
      </w:pPr>
      <w:rPr>
        <w:rFonts w:ascii="Courier New" w:hAnsi="Courier New" w:cs="Courier New" w:hint="default"/>
      </w:rPr>
    </w:lvl>
    <w:lvl w:ilvl="2" w:tplc="0C0A0005">
      <w:start w:val="1"/>
      <w:numFmt w:val="bullet"/>
      <w:lvlText w:val=""/>
      <w:lvlJc w:val="left"/>
      <w:pPr>
        <w:tabs>
          <w:tab w:val="num" w:pos="2595"/>
        </w:tabs>
        <w:ind w:left="2595" w:hanging="360"/>
      </w:pPr>
      <w:rPr>
        <w:rFonts w:ascii="Wingdings" w:hAnsi="Wingdings" w:cs="Wingdings" w:hint="default"/>
      </w:rPr>
    </w:lvl>
    <w:lvl w:ilvl="3" w:tplc="0C0A0001">
      <w:start w:val="1"/>
      <w:numFmt w:val="bullet"/>
      <w:lvlText w:val=""/>
      <w:lvlJc w:val="left"/>
      <w:pPr>
        <w:tabs>
          <w:tab w:val="num" w:pos="3315"/>
        </w:tabs>
        <w:ind w:left="3315" w:hanging="360"/>
      </w:pPr>
      <w:rPr>
        <w:rFonts w:ascii="Symbol" w:hAnsi="Symbol" w:cs="Symbol" w:hint="default"/>
      </w:rPr>
    </w:lvl>
    <w:lvl w:ilvl="4" w:tplc="0C0A0003">
      <w:start w:val="1"/>
      <w:numFmt w:val="bullet"/>
      <w:lvlText w:val="o"/>
      <w:lvlJc w:val="left"/>
      <w:pPr>
        <w:tabs>
          <w:tab w:val="num" w:pos="4035"/>
        </w:tabs>
        <w:ind w:left="4035" w:hanging="360"/>
      </w:pPr>
      <w:rPr>
        <w:rFonts w:ascii="Courier New" w:hAnsi="Courier New" w:cs="Courier New" w:hint="default"/>
      </w:rPr>
    </w:lvl>
    <w:lvl w:ilvl="5" w:tplc="0C0A0005">
      <w:start w:val="1"/>
      <w:numFmt w:val="bullet"/>
      <w:lvlText w:val=""/>
      <w:lvlJc w:val="left"/>
      <w:pPr>
        <w:tabs>
          <w:tab w:val="num" w:pos="4755"/>
        </w:tabs>
        <w:ind w:left="4755" w:hanging="360"/>
      </w:pPr>
      <w:rPr>
        <w:rFonts w:ascii="Wingdings" w:hAnsi="Wingdings" w:cs="Wingdings" w:hint="default"/>
      </w:rPr>
    </w:lvl>
    <w:lvl w:ilvl="6" w:tplc="0C0A0001">
      <w:start w:val="1"/>
      <w:numFmt w:val="bullet"/>
      <w:lvlText w:val=""/>
      <w:lvlJc w:val="left"/>
      <w:pPr>
        <w:tabs>
          <w:tab w:val="num" w:pos="5475"/>
        </w:tabs>
        <w:ind w:left="5475" w:hanging="360"/>
      </w:pPr>
      <w:rPr>
        <w:rFonts w:ascii="Symbol" w:hAnsi="Symbol" w:cs="Symbol" w:hint="default"/>
      </w:rPr>
    </w:lvl>
    <w:lvl w:ilvl="7" w:tplc="0C0A0003">
      <w:start w:val="1"/>
      <w:numFmt w:val="bullet"/>
      <w:lvlText w:val="o"/>
      <w:lvlJc w:val="left"/>
      <w:pPr>
        <w:tabs>
          <w:tab w:val="num" w:pos="6195"/>
        </w:tabs>
        <w:ind w:left="6195" w:hanging="360"/>
      </w:pPr>
      <w:rPr>
        <w:rFonts w:ascii="Courier New" w:hAnsi="Courier New" w:cs="Courier New" w:hint="default"/>
      </w:rPr>
    </w:lvl>
    <w:lvl w:ilvl="8" w:tplc="0C0A0005">
      <w:start w:val="1"/>
      <w:numFmt w:val="bullet"/>
      <w:lvlText w:val=""/>
      <w:lvlJc w:val="left"/>
      <w:pPr>
        <w:tabs>
          <w:tab w:val="num" w:pos="6915"/>
        </w:tabs>
        <w:ind w:left="6915" w:hanging="360"/>
      </w:pPr>
      <w:rPr>
        <w:rFonts w:ascii="Wingdings" w:hAnsi="Wingdings" w:cs="Wingdings" w:hint="default"/>
      </w:rPr>
    </w:lvl>
  </w:abstractNum>
  <w:abstractNum w:abstractNumId="15">
    <w:nsid w:val="5E787690"/>
    <w:multiLevelType w:val="hybridMultilevel"/>
    <w:tmpl w:val="A4D62C46"/>
    <w:lvl w:ilvl="0" w:tplc="0C0A0019">
      <w:start w:val="1"/>
      <w:numFmt w:val="lowerLetter"/>
      <w:lvlText w:val="%1."/>
      <w:lvlJc w:val="lef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abstractNum w:abstractNumId="16">
    <w:nsid w:val="7B3F0476"/>
    <w:multiLevelType w:val="hybridMultilevel"/>
    <w:tmpl w:val="9E86F5BC"/>
    <w:lvl w:ilvl="0" w:tplc="0C0A0013">
      <w:start w:val="1"/>
      <w:numFmt w:val="upperRoman"/>
      <w:lvlText w:val="%1."/>
      <w:lvlJc w:val="righ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abstractNum w:abstractNumId="17">
    <w:nsid w:val="7E097A28"/>
    <w:multiLevelType w:val="hybridMultilevel"/>
    <w:tmpl w:val="3D8EFAA2"/>
    <w:lvl w:ilvl="0" w:tplc="0C0A0019">
      <w:start w:val="1"/>
      <w:numFmt w:val="lowerLetter"/>
      <w:lvlText w:val="%1."/>
      <w:lvlJc w:val="lef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num w:numId="1">
    <w:abstractNumId w:val="2"/>
  </w:num>
  <w:num w:numId="2">
    <w:abstractNumId w:val="3"/>
  </w:num>
  <w:num w:numId="3">
    <w:abstractNumId w:val="10"/>
  </w:num>
  <w:num w:numId="4">
    <w:abstractNumId w:val="9"/>
  </w:num>
  <w:num w:numId="5">
    <w:abstractNumId w:val="17"/>
  </w:num>
  <w:num w:numId="6">
    <w:abstractNumId w:val="13"/>
  </w:num>
  <w:num w:numId="7">
    <w:abstractNumId w:val="7"/>
  </w:num>
  <w:num w:numId="8">
    <w:abstractNumId w:val="4"/>
  </w:num>
  <w:num w:numId="9">
    <w:abstractNumId w:val="1"/>
  </w:num>
  <w:num w:numId="10">
    <w:abstractNumId w:val="16"/>
  </w:num>
  <w:num w:numId="11">
    <w:abstractNumId w:val="15"/>
  </w:num>
  <w:num w:numId="12">
    <w:abstractNumId w:val="6"/>
  </w:num>
  <w:num w:numId="13">
    <w:abstractNumId w:val="12"/>
  </w:num>
  <w:num w:numId="14">
    <w:abstractNumId w:val="11"/>
  </w:num>
  <w:num w:numId="15">
    <w:abstractNumId w:val="0"/>
  </w:num>
  <w:num w:numId="16">
    <w:abstractNumId w:val="14"/>
  </w:num>
  <w:num w:numId="17">
    <w:abstractNumId w:val="5"/>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A266E4"/>
    <w:rsid w:val="001A0A62"/>
    <w:rsid w:val="001E04AC"/>
    <w:rsid w:val="001E1294"/>
    <w:rsid w:val="002A6638"/>
    <w:rsid w:val="00316CB4"/>
    <w:rsid w:val="00403DD3"/>
    <w:rsid w:val="00591B69"/>
    <w:rsid w:val="00656746"/>
    <w:rsid w:val="0066645E"/>
    <w:rsid w:val="006F312A"/>
    <w:rsid w:val="00741B43"/>
    <w:rsid w:val="007E5609"/>
    <w:rsid w:val="00855440"/>
    <w:rsid w:val="008874E2"/>
    <w:rsid w:val="00906C4F"/>
    <w:rsid w:val="009254C5"/>
    <w:rsid w:val="0096071E"/>
    <w:rsid w:val="009B727B"/>
    <w:rsid w:val="00A266E4"/>
    <w:rsid w:val="00A63ABE"/>
    <w:rsid w:val="00A91A5E"/>
    <w:rsid w:val="00B31CA7"/>
    <w:rsid w:val="00B662EB"/>
    <w:rsid w:val="00BB4448"/>
    <w:rsid w:val="00CD2781"/>
    <w:rsid w:val="00CD733B"/>
    <w:rsid w:val="00CF70AC"/>
    <w:rsid w:val="00E70F61"/>
    <w:rsid w:val="00F42F13"/>
    <w:rsid w:val="00FA039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66E4"/>
    <w:rPr>
      <w:rFonts w:ascii="Calibri" w:eastAsia="Calibri" w:hAnsi="Calibri" w:cs="Times New Roman"/>
    </w:rPr>
  </w:style>
  <w:style w:type="paragraph" w:styleId="Ttulo2">
    <w:name w:val="heading 2"/>
    <w:basedOn w:val="Normal"/>
    <w:next w:val="Normal"/>
    <w:link w:val="Ttulo2Car"/>
    <w:qFormat/>
    <w:rsid w:val="00A266E4"/>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A266E4"/>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A266E4"/>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A266E4"/>
    <w:rPr>
      <w:rFonts w:ascii="Arial" w:eastAsia="Calibri" w:hAnsi="Arial" w:cs="Arial"/>
      <w:b/>
      <w:bCs/>
      <w:sz w:val="26"/>
      <w:szCs w:val="26"/>
    </w:rPr>
  </w:style>
  <w:style w:type="paragraph" w:styleId="Textoindependiente3">
    <w:name w:val="Body Text 3"/>
    <w:basedOn w:val="Normal"/>
    <w:link w:val="Textoindependiente3Car"/>
    <w:semiHidden/>
    <w:unhideWhenUsed/>
    <w:rsid w:val="00A266E4"/>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A266E4"/>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A266E4"/>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A266E4"/>
    <w:pPr>
      <w:tabs>
        <w:tab w:val="center" w:pos="4252"/>
        <w:tab w:val="right" w:pos="8504"/>
      </w:tabs>
    </w:pPr>
  </w:style>
  <w:style w:type="character" w:customStyle="1" w:styleId="PiedepginaCar">
    <w:name w:val="Pie de página Car"/>
    <w:basedOn w:val="Fuentedeprrafopredeter"/>
    <w:link w:val="Piedepgina"/>
    <w:uiPriority w:val="99"/>
    <w:rsid w:val="00A266E4"/>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Texto nota pie1 Car Car"/>
    <w:basedOn w:val="Normal"/>
    <w:link w:val="TextonotapieCar"/>
    <w:uiPriority w:val="99"/>
    <w:rsid w:val="00A266E4"/>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uiPriority w:val="99"/>
    <w:rsid w:val="00A266E4"/>
    <w:rPr>
      <w:rFonts w:ascii="Tahoma" w:eastAsia="Calibri" w:hAnsi="Tahoma" w:cs="Tahoma"/>
      <w:sz w:val="20"/>
      <w:szCs w:val="20"/>
    </w:rPr>
  </w:style>
  <w:style w:type="character" w:styleId="Refdenotaalpie">
    <w:name w:val="footnote reference"/>
    <w:basedOn w:val="Fuentedeprrafopredeter"/>
    <w:uiPriority w:val="99"/>
    <w:semiHidden/>
    <w:rsid w:val="00A266E4"/>
    <w:rPr>
      <w:vertAlign w:val="superscript"/>
    </w:rPr>
  </w:style>
  <w:style w:type="paragraph" w:styleId="Textoindependiente">
    <w:name w:val="Body Text"/>
    <w:basedOn w:val="Normal"/>
    <w:link w:val="TextoindependienteCar"/>
    <w:uiPriority w:val="99"/>
    <w:semiHidden/>
    <w:unhideWhenUsed/>
    <w:rsid w:val="00A266E4"/>
    <w:pPr>
      <w:spacing w:after="120"/>
    </w:pPr>
  </w:style>
  <w:style w:type="character" w:customStyle="1" w:styleId="TextoindependienteCar">
    <w:name w:val="Texto independiente Car"/>
    <w:basedOn w:val="Fuentedeprrafopredeter"/>
    <w:link w:val="Textoindependiente"/>
    <w:uiPriority w:val="99"/>
    <w:semiHidden/>
    <w:rsid w:val="00A266E4"/>
    <w:rPr>
      <w:rFonts w:ascii="Calibri" w:eastAsia="Calibri" w:hAnsi="Calibri" w:cs="Times New Roman"/>
    </w:rPr>
  </w:style>
  <w:style w:type="character" w:styleId="nfasis">
    <w:name w:val="Emphasis"/>
    <w:basedOn w:val="Fuentedeprrafopredeter"/>
    <w:uiPriority w:val="99"/>
    <w:qFormat/>
    <w:rsid w:val="00A266E4"/>
    <w:rPr>
      <w:i/>
      <w:iCs/>
    </w:rPr>
  </w:style>
  <w:style w:type="paragraph" w:customStyle="1" w:styleId="Normaltimes">
    <w:name w:val="Normal+times"/>
    <w:basedOn w:val="Normal"/>
    <w:link w:val="NormaltimesCar"/>
    <w:uiPriority w:val="99"/>
    <w:rsid w:val="00A266E4"/>
    <w:pPr>
      <w:spacing w:after="0" w:line="240" w:lineRule="auto"/>
    </w:pPr>
    <w:rPr>
      <w:rFonts w:ascii="Times New Roman" w:eastAsia="Times New Roman" w:hAnsi="Times New Roman"/>
      <w:sz w:val="24"/>
      <w:szCs w:val="24"/>
      <w:lang w:val="es-MX" w:eastAsia="es-PE"/>
    </w:rPr>
  </w:style>
  <w:style w:type="character" w:customStyle="1" w:styleId="NormaltimesCar">
    <w:name w:val="Normal+times Car"/>
    <w:basedOn w:val="Fuentedeprrafopredeter"/>
    <w:link w:val="Normaltimes"/>
    <w:uiPriority w:val="99"/>
    <w:locked/>
    <w:rsid w:val="00A266E4"/>
    <w:rPr>
      <w:rFonts w:ascii="Times New Roman" w:eastAsia="Times New Roman" w:hAnsi="Times New Roman" w:cs="Times New Roman"/>
      <w:sz w:val="24"/>
      <w:szCs w:val="24"/>
      <w:lang w:val="es-MX" w:eastAsia="es-PE"/>
    </w:rPr>
  </w:style>
  <w:style w:type="paragraph" w:styleId="Encabezado">
    <w:name w:val="header"/>
    <w:aliases w:val="maria,h"/>
    <w:basedOn w:val="Normal"/>
    <w:link w:val="EncabezadoCar"/>
    <w:uiPriority w:val="99"/>
    <w:semiHidden/>
    <w:unhideWhenUsed/>
    <w:rsid w:val="00A91A5E"/>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A91A5E"/>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8776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21</Pages>
  <Words>8249</Words>
  <Characters>45371</Characters>
  <Application>Microsoft Office Word</Application>
  <DocSecurity>0</DocSecurity>
  <Lines>378</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22</cp:revision>
  <cp:lastPrinted>2011-05-17T21:52:00Z</cp:lastPrinted>
  <dcterms:created xsi:type="dcterms:W3CDTF">2011-05-17T17:51:00Z</dcterms:created>
  <dcterms:modified xsi:type="dcterms:W3CDTF">2011-06-22T14:37:00Z</dcterms:modified>
</cp:coreProperties>
</file>